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 w:val="24"/>
        </w:rPr>
      </w:pPr>
      <w:bookmarkStart w:id="0" w:name="_Toc61354154"/>
      <w:bookmarkStart w:id="1" w:name="_Toc526861349"/>
      <w:bookmarkStart w:id="2" w:name="_Toc526778066"/>
      <w:bookmarkStart w:id="3" w:name="_Toc526246862"/>
      <w:r>
        <w:rPr>
          <w:rFonts w:hint="eastAsia" w:ascii="仿宋" w:hAnsi="仿宋" w:eastAsia="仿宋"/>
          <w:sz w:val="24"/>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w:t>
      </w:r>
      <w:r>
        <w:rPr>
          <w:rFonts w:ascii="仿宋" w:hAnsi="仿宋" w:eastAsia="仿宋"/>
          <w:sz w:val="24"/>
        </w:rPr>
        <w:t>编号：</w:t>
      </w:r>
      <w:r>
        <w:rPr>
          <w:rFonts w:hint="eastAsia" w:ascii="仿宋" w:hAnsi="仿宋" w:eastAsia="仿宋" w:cs="仿宋"/>
          <w:bCs/>
          <w:color w:val="auto"/>
          <w:sz w:val="24"/>
          <w:highlight w:val="none"/>
        </w:rPr>
        <w:t>HGSGW2200</w:t>
      </w:r>
      <w:r>
        <w:rPr>
          <w:rFonts w:hint="eastAsia" w:ascii="仿宋" w:hAnsi="仿宋" w:eastAsia="仿宋" w:cs="仿宋"/>
          <w:bCs/>
          <w:color w:val="auto"/>
          <w:sz w:val="24"/>
          <w:highlight w:val="none"/>
          <w:lang w:val="en-US" w:eastAsia="zh-CN"/>
        </w:rPr>
        <w:t>4</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w:t>
      </w:r>
      <w:r>
        <w:rPr>
          <w:rFonts w:hint="eastAsia" w:ascii="仿宋" w:hAnsi="仿宋" w:eastAsia="仿宋" w:cs="仿宋"/>
          <w:color w:val="auto"/>
          <w:sz w:val="24"/>
          <w:highlight w:val="none"/>
        </w:rPr>
        <w:t>炼铁厂、</w:t>
      </w:r>
      <w:r>
        <w:rPr>
          <w:rFonts w:hint="eastAsia" w:ascii="仿宋" w:hAnsi="仿宋" w:eastAsia="仿宋" w:cs="仿宋"/>
          <w:bCs/>
          <w:color w:val="auto"/>
          <w:sz w:val="24"/>
          <w:highlight w:val="none"/>
        </w:rPr>
        <w:t>180厂电气室屋面防水维修</w:t>
      </w:r>
      <w:r>
        <w:rPr>
          <w:rFonts w:hint="eastAsia" w:ascii="仿宋" w:hAnsi="仿宋" w:eastAsia="仿宋" w:cs="仿宋"/>
          <w:color w:val="auto"/>
          <w:sz w:val="24"/>
          <w:highlight w:val="none"/>
        </w:rPr>
        <w:t>工程</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建设单位：衡阳华菱连轧管有限公司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工程合同: 固定单价合同</w:t>
      </w:r>
    </w:p>
    <w:p>
      <w:pPr>
        <w:pStyle w:val="101"/>
        <w:numPr>
          <w:ilvl w:val="0"/>
          <w:numId w:val="1"/>
        </w:numPr>
        <w:spacing w:line="400" w:lineRule="exact"/>
        <w:ind w:firstLineChars="0"/>
        <w:rPr>
          <w:rFonts w:ascii="仿宋" w:hAnsi="仿宋" w:eastAsia="仿宋" w:cs="宋体"/>
          <w:b/>
          <w:sz w:val="24"/>
        </w:rPr>
      </w:pPr>
      <w:r>
        <w:rPr>
          <w:rFonts w:hint="eastAsia" w:ascii="仿宋" w:hAnsi="仿宋" w:eastAsia="仿宋" w:cs="宋体"/>
          <w:b/>
          <w:sz w:val="24"/>
        </w:rPr>
        <w:t>招标范围：</w:t>
      </w:r>
    </w:p>
    <w:p>
      <w:pPr>
        <w:spacing w:line="400" w:lineRule="exact"/>
        <w:ind w:left="986" w:leftChars="0" w:hanging="986" w:hangingChars="411"/>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 xml:space="preserve">2.1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szCs w:val="24"/>
          <w:highlight w:val="none"/>
        </w:rPr>
        <w:t>炼铁厂烧结、原料等区域共10个配电房屋面防水维修。</w:t>
      </w:r>
    </w:p>
    <w:p>
      <w:pPr>
        <w:spacing w:line="400" w:lineRule="exact"/>
        <w:ind w:left="986" w:leftChars="0" w:hanging="986" w:hangingChars="4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180厂主控楼屋面防水维修。</w:t>
      </w:r>
    </w:p>
    <w:p>
      <w:pPr>
        <w:pStyle w:val="21"/>
        <w:spacing w:line="400" w:lineRule="exact"/>
        <w:ind w:left="939" w:leftChars="390" w:hanging="120" w:hangingChars="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以上为主要工程内容，具体详细的工程内容、数量详见技术要求规格书、工程量清单，</w:t>
      </w:r>
      <w:r>
        <w:rPr>
          <w:rFonts w:hint="eastAsia" w:ascii="仿宋" w:hAnsi="仿宋" w:eastAsia="仿宋" w:cs="仿宋"/>
          <w:bCs/>
          <w:color w:val="auto"/>
          <w:sz w:val="24"/>
          <w:szCs w:val="24"/>
          <w:highlight w:val="none"/>
        </w:rPr>
        <w:t>本次招标清单单价招标</w:t>
      </w:r>
      <w:r>
        <w:rPr>
          <w:rFonts w:hint="eastAsia" w:ascii="仿宋" w:hAnsi="仿宋" w:eastAsia="仿宋" w:cs="仿宋"/>
          <w:color w:val="auto"/>
          <w:sz w:val="24"/>
          <w:szCs w:val="24"/>
          <w:highlight w:val="none"/>
        </w:rPr>
        <w:t>。</w:t>
      </w:r>
    </w:p>
    <w:p>
      <w:pPr>
        <w:spacing w:line="40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本维修项目招标中标后，按维修项目所属厂分别签订施工合同。</w:t>
      </w:r>
    </w:p>
    <w:p>
      <w:pPr>
        <w:spacing w:line="40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施工地点：衡阳华菱连轧管有限公司炼铁厂、180厂</w:t>
      </w:r>
    </w:p>
    <w:p>
      <w:pPr>
        <w:numPr>
          <w:numId w:val="0"/>
        </w:numPr>
        <w:tabs>
          <w:tab w:val="left" w:pos="378"/>
        </w:tabs>
        <w:spacing w:line="400" w:lineRule="exact"/>
        <w:ind w:left="1" w:leftChars="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工期：本工程要求中标通知书下达后，根据甲方要求进行施工，工期15天</w:t>
      </w:r>
      <w:r>
        <w:rPr>
          <w:rFonts w:hint="eastAsia" w:ascii="仿宋" w:hAnsi="仿宋" w:eastAsia="仿宋" w:cs="仿宋"/>
          <w:bCs/>
          <w:color w:val="auto"/>
          <w:sz w:val="24"/>
          <w:szCs w:val="24"/>
          <w:highlight w:val="none"/>
        </w:rPr>
        <w:t>。</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 xml:space="preserve"> 具有中华人民共和国独立法人资格的企业，依法取得营业执照，企业注册资本金人民币1000万元及以上，注册时间三年及以上，具有履行合同的财务、技术、施工和服务能力。</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遵守国家法律、行政法规，具有良好的商业信誉，未被工商行政管理机关在全国企业信用信息公示系统中列入严重违法失信企业名单。</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投标人财务状况良好，没有处于资产被接管或冻结状态。未被法院在“信用中国”网站（</w:t>
      </w:r>
      <w:r>
        <w:rPr>
          <w:rFonts w:hint="eastAsia" w:ascii="仿宋" w:hAnsi="仿宋" w:eastAsia="仿宋"/>
          <w:sz w:val="24"/>
        </w:rPr>
        <w:fldChar w:fldCharType="begin"/>
      </w:r>
      <w:r>
        <w:rPr>
          <w:rFonts w:hint="eastAsia" w:ascii="仿宋" w:hAnsi="仿宋" w:eastAsia="仿宋"/>
          <w:sz w:val="24"/>
        </w:rPr>
        <w:instrText xml:space="preserve"> HYPERLINK "http://www.creditchian.gov.cn" </w:instrText>
      </w:r>
      <w:r>
        <w:rPr>
          <w:rFonts w:hint="eastAsia" w:ascii="仿宋" w:hAnsi="仿宋" w:eastAsia="仿宋"/>
          <w:sz w:val="24"/>
        </w:rPr>
        <w:fldChar w:fldCharType="separate"/>
      </w:r>
      <w:r>
        <w:rPr>
          <w:rFonts w:hint="eastAsia" w:ascii="仿宋" w:hAnsi="仿宋" w:eastAsia="仿宋"/>
          <w:sz w:val="24"/>
        </w:rPr>
        <w:t>www.creditchian.gov.cn</w:t>
      </w:r>
      <w:r>
        <w:rPr>
          <w:rFonts w:hint="eastAsia" w:ascii="仿宋" w:hAnsi="仿宋" w:eastAsia="仿宋"/>
          <w:sz w:val="24"/>
        </w:rPr>
        <w:fldChar w:fldCharType="end"/>
      </w:r>
      <w:r>
        <w:rPr>
          <w:rFonts w:hint="eastAsia" w:ascii="仿宋" w:hAnsi="仿宋" w:eastAsia="仿宋"/>
          <w:sz w:val="24"/>
        </w:rPr>
        <w:t>）或公共信用平台列入失信名单。</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投标人须为具有建筑工程施工总承包三级及以上或防水防腐保温工程专业承包二级及以上资质的法人企业，项目经理须具有二级建造师及以上执业资格证书，技术负责人具有中级及以上职称（须提供企业资质、人员证书、社保证明复印件）。</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项目经理、技术负责人近三年内有类似工程经验，须提供相关业绩证明文件（须提供合同复印件）。</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本工程参与投标的项目经理和技术负责人必须亲自对本工程进行全过程管理，未经招标人许可，不得更换易人，否则作违约处理。</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本招标项目不接受列入湖南华菱钢铁集团有限责任公司及其分（子）公司供应商黑名单，或衡阳华菱钢管（连轧管）有限公司供应商资格暂停、取消、淘汰期间的单位或个人投标。</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本工程不接受联合体投标。</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lang w:val="en-US" w:eastAsia="zh-CN"/>
        </w:rPr>
        <w:t>1</w:t>
      </w:r>
      <w:r>
        <w:rPr>
          <w:rFonts w:hint="eastAsia" w:ascii="仿宋" w:hAnsi="仿宋" w:eastAsia="仿宋"/>
          <w:sz w:val="24"/>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lang w:val="en-US" w:eastAsia="zh-CN"/>
        </w:rPr>
        <w:t>4</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仿宋"/>
          <w:b/>
          <w:color w:val="auto"/>
          <w:sz w:val="24"/>
          <w:highlight w:val="none"/>
          <w:u w:val="single"/>
        </w:rPr>
        <w:t>202</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u w:val="single"/>
        </w:rPr>
        <w:t>年1月2</w:t>
      </w:r>
      <w:r>
        <w:rPr>
          <w:rFonts w:hint="eastAsia" w:ascii="仿宋" w:hAnsi="仿宋" w:eastAsia="仿宋" w:cs="仿宋"/>
          <w:b/>
          <w:color w:val="auto"/>
          <w:sz w:val="24"/>
          <w:highlight w:val="none"/>
          <w:u w:val="single"/>
          <w:lang w:val="en-US" w:eastAsia="zh-CN"/>
        </w:rPr>
        <w:t>7</w:t>
      </w:r>
      <w:r>
        <w:rPr>
          <w:rFonts w:hint="eastAsia" w:ascii="仿宋" w:hAnsi="仿宋" w:eastAsia="仿宋" w:cs="仿宋"/>
          <w:b/>
          <w:color w:val="auto"/>
          <w:sz w:val="24"/>
          <w:highlight w:val="none"/>
          <w:u w:val="single"/>
        </w:rPr>
        <w:t>日上午9:30</w:t>
      </w:r>
      <w:r>
        <w:rPr>
          <w:rFonts w:hint="eastAsia" w:ascii="仿宋" w:hAnsi="仿宋" w:eastAsia="仿宋" w:cs="仿宋"/>
          <w:b/>
          <w:color w:val="auto"/>
          <w:sz w:val="24"/>
          <w:highlight w:val="none"/>
        </w:rPr>
        <w:t>(北京时间)</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1"/>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0677994"/>
      <w:bookmarkStart w:id="5" w:name="_Toc303864862"/>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1"/>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项目联系人：熊先生</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电话：（0734）8872820           手机：18684587597</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rPr>
        <w:t>设备工程部</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炼铁厂联系人：吴先生    手机：15073407890</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rPr>
        <w:t>炼钢厂</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180厂联系人：吴先生    手机：13789366146</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rPr>
        <w:t>180厂</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招标联系人： 洪先生</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电话：（0734）8872579           手机：15616678886</w:t>
      </w:r>
    </w:p>
    <w:p>
      <w:pPr>
        <w:ind w:firstLine="943" w:firstLineChars="393"/>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传真：（0734）8873841           Email: </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"mailto:hgzhbb@</w:instrText>
      </w:r>
      <w:r>
        <w:rPr>
          <w:rFonts w:hint="eastAsia" w:ascii="仿宋" w:hAnsi="仿宋" w:eastAsia="仿宋" w:cs="仿宋"/>
          <w:b/>
          <w:bCs/>
          <w:color w:val="auto"/>
          <w:sz w:val="24"/>
          <w:highlight w:val="none"/>
        </w:rPr>
        <w:instrText xml:space="preserve">yahoo.com.cn</w:instrText>
      </w:r>
      <w:r>
        <w:rPr>
          <w:rFonts w:hint="eastAsia" w:ascii="仿宋" w:hAnsi="仿宋" w:eastAsia="仿宋" w:cs="仿宋"/>
          <w:color w:val="auto"/>
          <w:sz w:val="24"/>
          <w:highlight w:val="none"/>
        </w:rPr>
        <w:instrText xml:space="preserve">" </w:instrText>
      </w:r>
      <w:r>
        <w:rPr>
          <w:rFonts w:hint="eastAsia" w:ascii="仿宋" w:hAnsi="仿宋" w:eastAsia="仿宋" w:cs="仿宋"/>
          <w:color w:val="auto"/>
          <w:sz w:val="24"/>
          <w:highlight w:val="none"/>
        </w:rPr>
        <w:fldChar w:fldCharType="separate"/>
      </w:r>
      <w:r>
        <w:rPr>
          <w:rStyle w:val="43"/>
          <w:rFonts w:hint="eastAsia" w:ascii="仿宋" w:hAnsi="仿宋" w:eastAsia="仿宋" w:cs="仿宋"/>
          <w:color w:val="auto"/>
          <w:sz w:val="24"/>
          <w:highlight w:val="none"/>
        </w:rPr>
        <w:t>hgzhbb@</w:t>
      </w:r>
      <w:r>
        <w:rPr>
          <w:rStyle w:val="43"/>
          <w:rFonts w:hint="eastAsia" w:ascii="仿宋" w:hAnsi="仿宋" w:eastAsia="仿宋" w:cs="仿宋"/>
          <w:b/>
          <w:bCs/>
          <w:color w:val="auto"/>
          <w:sz w:val="24"/>
          <w:highlight w:val="none"/>
        </w:rPr>
        <w:t>163.com</w:t>
      </w:r>
      <w:r>
        <w:rPr>
          <w:rFonts w:hint="eastAsia" w:ascii="仿宋" w:hAnsi="仿宋" w:eastAsia="仿宋" w:cs="仿宋"/>
          <w:color w:val="auto"/>
          <w:sz w:val="24"/>
          <w:highlight w:val="none"/>
        </w:rPr>
        <w:fldChar w:fldCharType="end"/>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详细地址：衡阳华菱钢管有限公司企业管理和人力资源部</w:t>
      </w:r>
    </w:p>
    <w:p>
      <w:pPr>
        <w:snapToGrid w:val="0"/>
        <w:spacing w:line="400" w:lineRule="exact"/>
        <w:rPr>
          <w:rFonts w:ascii="仿宋" w:hAnsi="仿宋" w:eastAsia="仿宋"/>
          <w:sz w:val="24"/>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C324331"/>
    <w:rsid w:val="4CB5355C"/>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1324</Words>
  <Characters>347</Characters>
  <Lines>2</Lines>
  <Paragraphs>3</Paragraphs>
  <TotalTime>0</TotalTime>
  <ScaleCrop>false</ScaleCrop>
  <LinksUpToDate>false</LinksUpToDate>
  <CharactersWithSpaces>1668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2022-01-22T09:33:38Z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