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0"/>
        </w:numPr>
        <w:spacing w:line="400" w:lineRule="exact"/>
        <w:rPr>
          <w:rFonts w:ascii="仿宋" w:hAnsi="仿宋" w:eastAsia="仿宋"/>
          <w:color w:val="000000"/>
          <w:szCs w:val="32"/>
        </w:rPr>
      </w:pPr>
      <w:bookmarkStart w:id="0" w:name="_Toc526778066"/>
      <w:bookmarkStart w:id="1" w:name="_Toc61354154"/>
      <w:bookmarkStart w:id="2" w:name="_Toc526861349"/>
      <w:bookmarkStart w:id="3" w:name="_Toc526246862"/>
      <w:r>
        <w:rPr>
          <w:rFonts w:hint="eastAsia" w:ascii="仿宋" w:hAnsi="仿宋" w:eastAsia="仿宋"/>
          <w:color w:val="000000"/>
          <w:szCs w:val="32"/>
        </w:rPr>
        <w:t>招标公告</w:t>
      </w:r>
      <w:bookmarkEnd w:id="0"/>
      <w:bookmarkEnd w:id="1"/>
      <w:bookmarkEnd w:id="2"/>
      <w:bookmarkEnd w:id="3"/>
    </w:p>
    <w:p>
      <w:pPr>
        <w:pStyle w:val="101"/>
        <w:numPr>
          <w:ilvl w:val="0"/>
          <w:numId w:val="2"/>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项目概况</w:t>
      </w:r>
    </w:p>
    <w:p>
      <w:pPr>
        <w:pStyle w:val="101"/>
        <w:numPr>
          <w:ilvl w:val="1"/>
          <w:numId w:val="2"/>
        </w:numPr>
        <w:adjustRightInd w:val="0"/>
        <w:snapToGrid w:val="0"/>
        <w:spacing w:line="360" w:lineRule="exact"/>
        <w:ind w:firstLineChars="0"/>
        <w:contextualSpacing/>
        <w:rPr>
          <w:rFonts w:ascii="仿宋" w:hAnsi="仿宋" w:eastAsia="仿宋" w:cs="Times New Roman"/>
          <w:sz w:val="24"/>
        </w:rPr>
      </w:pPr>
      <w:r>
        <w:rPr>
          <w:rFonts w:hint="eastAsia" w:ascii="仿宋" w:hAnsi="仿宋" w:eastAsia="仿宋"/>
          <w:sz w:val="24"/>
        </w:rPr>
        <w:t>项目</w:t>
      </w:r>
      <w:r>
        <w:rPr>
          <w:rFonts w:ascii="仿宋" w:hAnsi="仿宋" w:eastAsia="仿宋"/>
          <w:sz w:val="24"/>
        </w:rPr>
        <w:t>编</w:t>
      </w:r>
      <w:r>
        <w:rPr>
          <w:rFonts w:ascii="仿宋" w:hAnsi="仿宋" w:eastAsia="仿宋" w:cs="Times New Roman"/>
          <w:sz w:val="24"/>
        </w:rPr>
        <w:t>号：</w:t>
      </w:r>
      <w:r>
        <w:rPr>
          <w:rFonts w:hint="eastAsia" w:ascii="仿宋" w:hAnsi="仿宋" w:eastAsia="仿宋" w:cs="Times New Roman"/>
          <w:sz w:val="24"/>
        </w:rPr>
        <w:t>HGQGH22</w:t>
      </w:r>
      <w:r>
        <w:rPr>
          <w:rFonts w:hint="eastAsia" w:ascii="仿宋" w:hAnsi="仿宋" w:eastAsia="仿宋" w:cs="Times New Roman"/>
          <w:sz w:val="24"/>
          <w:lang w:val="en-US" w:eastAsia="zh-CN"/>
        </w:rPr>
        <w:t>002</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项目名称：</w:t>
      </w:r>
      <w:r>
        <w:rPr>
          <w:rFonts w:hint="eastAsia" w:ascii="仿宋" w:hAnsi="仿宋" w:eastAsia="仿宋" w:cs="仿宋"/>
          <w:color w:val="000000"/>
          <w:sz w:val="24"/>
        </w:rPr>
        <w:t>2022年度废气主排口及土壤和地下水环境监测项目</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项目单位：</w:t>
      </w:r>
      <w:r>
        <w:rPr>
          <w:rFonts w:hint="eastAsia" w:ascii="仿宋" w:hAnsi="仿宋" w:eastAsia="仿宋" w:cs="宋体"/>
          <w:sz w:val="24"/>
        </w:rPr>
        <w:t>衡阳华菱钢管有限公司</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合同类型: 固定总价合同</w:t>
      </w:r>
    </w:p>
    <w:p>
      <w:pPr>
        <w:pStyle w:val="101"/>
        <w:numPr>
          <w:ilvl w:val="0"/>
          <w:numId w:val="2"/>
        </w:numPr>
        <w:spacing w:line="400" w:lineRule="exact"/>
        <w:ind w:firstLineChars="0"/>
        <w:rPr>
          <w:rFonts w:ascii="仿宋" w:hAnsi="仿宋" w:eastAsia="仿宋" w:cs="宋体"/>
          <w:b/>
          <w:sz w:val="24"/>
        </w:rPr>
      </w:pPr>
      <w:r>
        <w:rPr>
          <w:rFonts w:hint="eastAsia" w:ascii="仿宋" w:hAnsi="仿宋" w:eastAsia="仿宋" w:cs="宋体"/>
          <w:b/>
          <w:sz w:val="24"/>
        </w:rPr>
        <w:t>招标范围及内容：</w:t>
      </w:r>
    </w:p>
    <w:p>
      <w:pPr>
        <w:tabs>
          <w:tab w:val="left" w:pos="720"/>
        </w:tabs>
        <w:adjustRightInd w:val="0"/>
        <w:snapToGrid w:val="0"/>
        <w:rPr>
          <w:rFonts w:ascii="仿宋" w:hAnsi="仿宋" w:eastAsia="仿宋" w:cs="仿宋"/>
          <w:color w:val="000000"/>
          <w:sz w:val="24"/>
        </w:rPr>
      </w:pPr>
      <w:r>
        <w:rPr>
          <w:rFonts w:hint="eastAsia" w:ascii="仿宋" w:hAnsi="仿宋" w:eastAsia="仿宋"/>
          <w:sz w:val="24"/>
        </w:rPr>
        <w:t xml:space="preserve">2.1    </w:t>
      </w:r>
      <w:r>
        <w:rPr>
          <w:rFonts w:hint="eastAsia" w:ascii="仿宋" w:hAnsi="仿宋" w:eastAsia="仿宋" w:cs="仿宋"/>
          <w:color w:val="000000"/>
          <w:sz w:val="24"/>
        </w:rPr>
        <w:t>废气主排口环境监测</w:t>
      </w:r>
    </w:p>
    <w:tbl>
      <w:tblPr>
        <w:tblStyle w:val="37"/>
        <w:tblW w:w="9876"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58"/>
        <w:gridCol w:w="2874"/>
        <w:gridCol w:w="3925"/>
        <w:gridCol w:w="181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blHeader/>
          <w:jc w:val="center"/>
        </w:trPr>
        <w:tc>
          <w:tcPr>
            <w:tcW w:w="1258" w:type="dxa"/>
            <w:tcBorders>
              <w:top w:val="single" w:color="auto" w:sz="12" w:space="0"/>
            </w:tcBorders>
            <w:vAlign w:val="center"/>
          </w:tcPr>
          <w:p>
            <w:pPr>
              <w:jc w:val="center"/>
              <w:rPr>
                <w:b/>
                <w:bCs/>
                <w:szCs w:val="21"/>
              </w:rPr>
            </w:pPr>
            <w:r>
              <w:rPr>
                <w:rFonts w:hint="eastAsia"/>
                <w:b/>
                <w:bCs/>
                <w:szCs w:val="21"/>
              </w:rPr>
              <w:t>序号</w:t>
            </w:r>
          </w:p>
        </w:tc>
        <w:tc>
          <w:tcPr>
            <w:tcW w:w="2874" w:type="dxa"/>
            <w:tcBorders>
              <w:top w:val="single" w:color="auto" w:sz="12" w:space="0"/>
            </w:tcBorders>
            <w:vAlign w:val="center"/>
          </w:tcPr>
          <w:p>
            <w:pPr>
              <w:jc w:val="center"/>
              <w:rPr>
                <w:b/>
                <w:bCs/>
                <w:szCs w:val="21"/>
              </w:rPr>
            </w:pPr>
            <w:r>
              <w:rPr>
                <w:rFonts w:hint="eastAsia"/>
                <w:b/>
                <w:bCs/>
                <w:szCs w:val="21"/>
              </w:rPr>
              <w:t>污染物监测指标</w:t>
            </w:r>
          </w:p>
        </w:tc>
        <w:tc>
          <w:tcPr>
            <w:tcW w:w="3925" w:type="dxa"/>
            <w:tcBorders>
              <w:top w:val="single" w:color="auto" w:sz="12" w:space="0"/>
              <w:right w:val="single" w:color="auto" w:sz="4" w:space="0"/>
            </w:tcBorders>
            <w:vAlign w:val="center"/>
          </w:tcPr>
          <w:p>
            <w:pPr>
              <w:jc w:val="center"/>
              <w:rPr>
                <w:b/>
                <w:bCs/>
                <w:szCs w:val="21"/>
              </w:rPr>
            </w:pPr>
            <w:r>
              <w:rPr>
                <w:rFonts w:hint="eastAsia"/>
                <w:b/>
                <w:bCs/>
                <w:szCs w:val="21"/>
              </w:rPr>
              <w:t>频次</w:t>
            </w:r>
          </w:p>
        </w:tc>
        <w:tc>
          <w:tcPr>
            <w:tcW w:w="1819" w:type="dxa"/>
            <w:tcBorders>
              <w:top w:val="single" w:color="auto" w:sz="12" w:space="0"/>
            </w:tcBorders>
            <w:vAlign w:val="center"/>
          </w:tcPr>
          <w:p>
            <w:pPr>
              <w:jc w:val="center"/>
              <w:rPr>
                <w:b/>
                <w:bCs/>
                <w:szCs w:val="21"/>
              </w:rPr>
            </w:pPr>
            <w:r>
              <w:rPr>
                <w:rFonts w:hint="eastAsia"/>
                <w:b/>
                <w:bCs/>
                <w:szCs w:val="21"/>
              </w:rPr>
              <w:t>点位数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258" w:type="dxa"/>
            <w:vAlign w:val="center"/>
          </w:tcPr>
          <w:p>
            <w:pPr>
              <w:jc w:val="center"/>
              <w:rPr>
                <w:szCs w:val="21"/>
              </w:rPr>
            </w:pPr>
            <w:r>
              <w:rPr>
                <w:szCs w:val="21"/>
              </w:rPr>
              <w:t>1</w:t>
            </w:r>
          </w:p>
        </w:tc>
        <w:tc>
          <w:tcPr>
            <w:tcW w:w="2874" w:type="dxa"/>
            <w:vAlign w:val="center"/>
          </w:tcPr>
          <w:p>
            <w:pPr>
              <w:jc w:val="center"/>
              <w:rPr>
                <w:szCs w:val="21"/>
              </w:rPr>
            </w:pPr>
            <w:r>
              <w:rPr>
                <w:rFonts w:hint="eastAsia"/>
                <w:szCs w:val="21"/>
              </w:rPr>
              <w:t>颗粒物</w:t>
            </w:r>
          </w:p>
        </w:tc>
        <w:tc>
          <w:tcPr>
            <w:tcW w:w="3925" w:type="dxa"/>
            <w:tcBorders>
              <w:right w:val="single" w:color="auto" w:sz="4" w:space="0"/>
            </w:tcBorders>
            <w:vAlign w:val="center"/>
          </w:tcPr>
          <w:p>
            <w:pPr>
              <w:jc w:val="center"/>
              <w:rPr>
                <w:szCs w:val="21"/>
              </w:rPr>
            </w:pPr>
            <w:r>
              <w:rPr>
                <w:rFonts w:hint="eastAsia"/>
                <w:szCs w:val="21"/>
              </w:rPr>
              <w:t>一次/季，每次三组数据</w:t>
            </w:r>
          </w:p>
        </w:tc>
        <w:tc>
          <w:tcPr>
            <w:tcW w:w="1819" w:type="dxa"/>
            <w:vAlign w:val="center"/>
          </w:tcPr>
          <w:p>
            <w:pPr>
              <w:jc w:val="center"/>
              <w:rPr>
                <w:szCs w:val="21"/>
              </w:rPr>
            </w:pPr>
            <w:r>
              <w:rPr>
                <w:rFonts w:hint="eastAsia"/>
                <w:szCs w:val="21"/>
              </w:rPr>
              <w:t>8个点位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258" w:type="dxa"/>
            <w:vAlign w:val="center"/>
          </w:tcPr>
          <w:p>
            <w:pPr>
              <w:jc w:val="center"/>
              <w:rPr>
                <w:szCs w:val="21"/>
              </w:rPr>
            </w:pPr>
            <w:r>
              <w:rPr>
                <w:rFonts w:hint="eastAsia"/>
                <w:szCs w:val="21"/>
              </w:rPr>
              <w:t>2</w:t>
            </w:r>
          </w:p>
        </w:tc>
        <w:tc>
          <w:tcPr>
            <w:tcW w:w="2874" w:type="dxa"/>
            <w:vAlign w:val="center"/>
          </w:tcPr>
          <w:p>
            <w:pPr>
              <w:jc w:val="center"/>
              <w:rPr>
                <w:szCs w:val="21"/>
              </w:rPr>
            </w:pPr>
            <w:r>
              <w:rPr>
                <w:rFonts w:hint="eastAsia"/>
                <w:szCs w:val="21"/>
              </w:rPr>
              <w:t>二氧化硫</w:t>
            </w:r>
          </w:p>
        </w:tc>
        <w:tc>
          <w:tcPr>
            <w:tcW w:w="3925" w:type="dxa"/>
            <w:tcBorders>
              <w:right w:val="single" w:color="auto" w:sz="4" w:space="0"/>
            </w:tcBorders>
            <w:vAlign w:val="center"/>
          </w:tcPr>
          <w:p>
            <w:pPr>
              <w:jc w:val="center"/>
            </w:pPr>
            <w:r>
              <w:rPr>
                <w:rFonts w:hint="eastAsia"/>
                <w:szCs w:val="21"/>
              </w:rPr>
              <w:t>一次/季，每次三组数据</w:t>
            </w:r>
          </w:p>
        </w:tc>
        <w:tc>
          <w:tcPr>
            <w:tcW w:w="1819" w:type="dxa"/>
            <w:vAlign w:val="center"/>
          </w:tcPr>
          <w:p>
            <w:pPr>
              <w:jc w:val="center"/>
              <w:rPr>
                <w:szCs w:val="21"/>
              </w:rPr>
            </w:pPr>
            <w:r>
              <w:rPr>
                <w:rFonts w:hint="eastAsia"/>
                <w:szCs w:val="21"/>
              </w:rPr>
              <w:t>2个点位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258" w:type="dxa"/>
            <w:vAlign w:val="center"/>
          </w:tcPr>
          <w:p>
            <w:pPr>
              <w:jc w:val="center"/>
              <w:rPr>
                <w:szCs w:val="21"/>
              </w:rPr>
            </w:pPr>
            <w:r>
              <w:rPr>
                <w:rFonts w:hint="eastAsia"/>
                <w:szCs w:val="21"/>
              </w:rPr>
              <w:t>3</w:t>
            </w:r>
          </w:p>
        </w:tc>
        <w:tc>
          <w:tcPr>
            <w:tcW w:w="2874" w:type="dxa"/>
            <w:vAlign w:val="center"/>
          </w:tcPr>
          <w:p>
            <w:pPr>
              <w:jc w:val="center"/>
              <w:rPr>
                <w:szCs w:val="21"/>
              </w:rPr>
            </w:pPr>
            <w:r>
              <w:rPr>
                <w:rFonts w:hint="eastAsia"/>
                <w:szCs w:val="21"/>
              </w:rPr>
              <w:t>氮氧化物</w:t>
            </w:r>
          </w:p>
        </w:tc>
        <w:tc>
          <w:tcPr>
            <w:tcW w:w="3925" w:type="dxa"/>
            <w:tcBorders>
              <w:right w:val="single" w:color="auto" w:sz="4" w:space="0"/>
            </w:tcBorders>
            <w:vAlign w:val="center"/>
          </w:tcPr>
          <w:p>
            <w:pPr>
              <w:jc w:val="center"/>
            </w:pPr>
            <w:r>
              <w:rPr>
                <w:rFonts w:hint="eastAsia"/>
                <w:szCs w:val="21"/>
              </w:rPr>
              <w:t>一次/季，每次三组数据</w:t>
            </w:r>
          </w:p>
        </w:tc>
        <w:tc>
          <w:tcPr>
            <w:tcW w:w="1819" w:type="dxa"/>
            <w:vAlign w:val="center"/>
          </w:tcPr>
          <w:p>
            <w:pPr>
              <w:jc w:val="center"/>
              <w:rPr>
                <w:szCs w:val="21"/>
              </w:rPr>
            </w:pPr>
            <w:r>
              <w:rPr>
                <w:rFonts w:hint="eastAsia"/>
                <w:szCs w:val="21"/>
              </w:rPr>
              <w:t>2个点位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258" w:type="dxa"/>
            <w:vAlign w:val="center"/>
          </w:tcPr>
          <w:p>
            <w:pPr>
              <w:jc w:val="center"/>
              <w:rPr>
                <w:szCs w:val="21"/>
              </w:rPr>
            </w:pPr>
            <w:r>
              <w:rPr>
                <w:rFonts w:hint="eastAsia"/>
                <w:szCs w:val="21"/>
              </w:rPr>
              <w:t>4</w:t>
            </w:r>
          </w:p>
        </w:tc>
        <w:tc>
          <w:tcPr>
            <w:tcW w:w="2874" w:type="dxa"/>
            <w:vAlign w:val="center"/>
          </w:tcPr>
          <w:p>
            <w:pPr>
              <w:jc w:val="center"/>
              <w:rPr>
                <w:szCs w:val="21"/>
              </w:rPr>
            </w:pPr>
            <w:r>
              <w:rPr>
                <w:rFonts w:hint="eastAsia"/>
                <w:szCs w:val="21"/>
              </w:rPr>
              <w:t>氟化物</w:t>
            </w:r>
          </w:p>
        </w:tc>
        <w:tc>
          <w:tcPr>
            <w:tcW w:w="3925" w:type="dxa"/>
            <w:tcBorders>
              <w:right w:val="single" w:color="auto" w:sz="4" w:space="0"/>
            </w:tcBorders>
            <w:vAlign w:val="center"/>
          </w:tcPr>
          <w:p>
            <w:pPr>
              <w:jc w:val="center"/>
            </w:pPr>
            <w:r>
              <w:rPr>
                <w:rFonts w:hint="eastAsia"/>
                <w:szCs w:val="21"/>
              </w:rPr>
              <w:t>一次/季，每次三组数据</w:t>
            </w:r>
          </w:p>
        </w:tc>
        <w:tc>
          <w:tcPr>
            <w:tcW w:w="1819" w:type="dxa"/>
            <w:vAlign w:val="center"/>
          </w:tcPr>
          <w:p>
            <w:pPr>
              <w:jc w:val="center"/>
              <w:rPr>
                <w:szCs w:val="21"/>
              </w:rPr>
            </w:pPr>
            <w:r>
              <w:rPr>
                <w:rFonts w:hint="eastAsia"/>
                <w:szCs w:val="21"/>
              </w:rPr>
              <w:t>1个点位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1258" w:type="dxa"/>
            <w:vAlign w:val="center"/>
          </w:tcPr>
          <w:p>
            <w:pPr>
              <w:jc w:val="center"/>
              <w:rPr>
                <w:szCs w:val="21"/>
              </w:rPr>
            </w:pPr>
            <w:r>
              <w:rPr>
                <w:rFonts w:hint="eastAsia"/>
                <w:szCs w:val="21"/>
              </w:rPr>
              <w:t>备注</w:t>
            </w:r>
          </w:p>
        </w:tc>
        <w:tc>
          <w:tcPr>
            <w:tcW w:w="8618" w:type="dxa"/>
            <w:gridSpan w:val="3"/>
            <w:vAlign w:val="center"/>
          </w:tcPr>
          <w:p>
            <w:pPr>
              <w:jc w:val="center"/>
              <w:rPr>
                <w:szCs w:val="21"/>
              </w:rPr>
            </w:pPr>
            <w:r>
              <w:rPr>
                <w:rFonts w:hint="eastAsia"/>
                <w:szCs w:val="21"/>
              </w:rPr>
              <w:t>8个点位均为在线监测系统比对监测，根据招标方要求分三部分出报告</w:t>
            </w:r>
          </w:p>
        </w:tc>
      </w:tr>
    </w:tbl>
    <w:p>
      <w:pPr>
        <w:tabs>
          <w:tab w:val="left" w:pos="720"/>
        </w:tabs>
        <w:adjustRightInd w:val="0"/>
        <w:snapToGrid w:val="0"/>
        <w:rPr>
          <w:rFonts w:ascii="仿宋" w:hAnsi="仿宋" w:eastAsia="仿宋" w:cs="仿宋"/>
          <w:color w:val="000000"/>
          <w:sz w:val="24"/>
        </w:rPr>
      </w:pPr>
      <w:r>
        <w:rPr>
          <w:rFonts w:hint="eastAsia" w:ascii="仿宋" w:hAnsi="仿宋" w:eastAsia="仿宋"/>
          <w:sz w:val="24"/>
        </w:rPr>
        <w:t xml:space="preserve">2.2    </w:t>
      </w:r>
      <w:r>
        <w:rPr>
          <w:rFonts w:hint="eastAsia" w:ascii="仿宋" w:hAnsi="仿宋" w:eastAsia="仿宋" w:cs="仿宋"/>
          <w:color w:val="000000"/>
          <w:sz w:val="24"/>
        </w:rPr>
        <w:t>土壤和地下水环境监测</w:t>
      </w:r>
    </w:p>
    <w:tbl>
      <w:tblPr>
        <w:tblStyle w:val="37"/>
        <w:tblW w:w="9876"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10"/>
        <w:gridCol w:w="1161"/>
        <w:gridCol w:w="711"/>
        <w:gridCol w:w="851"/>
        <w:gridCol w:w="664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blHeader/>
          <w:jc w:val="center"/>
        </w:trPr>
        <w:tc>
          <w:tcPr>
            <w:tcW w:w="510" w:type="dxa"/>
            <w:tcBorders>
              <w:top w:val="single" w:color="auto" w:sz="12" w:space="0"/>
            </w:tcBorders>
            <w:vAlign w:val="center"/>
          </w:tcPr>
          <w:p>
            <w:pPr>
              <w:jc w:val="center"/>
              <w:rPr>
                <w:b/>
                <w:bCs/>
                <w:szCs w:val="21"/>
              </w:rPr>
            </w:pPr>
            <w:r>
              <w:rPr>
                <w:rFonts w:hint="eastAsia"/>
                <w:b/>
                <w:bCs/>
                <w:szCs w:val="21"/>
              </w:rPr>
              <w:t>序号</w:t>
            </w:r>
          </w:p>
        </w:tc>
        <w:tc>
          <w:tcPr>
            <w:tcW w:w="1161" w:type="dxa"/>
            <w:tcBorders>
              <w:top w:val="single" w:color="auto" w:sz="12" w:space="0"/>
            </w:tcBorders>
            <w:vAlign w:val="center"/>
          </w:tcPr>
          <w:p>
            <w:pPr>
              <w:jc w:val="center"/>
              <w:rPr>
                <w:b/>
                <w:bCs/>
                <w:szCs w:val="21"/>
              </w:rPr>
            </w:pPr>
            <w:r>
              <w:rPr>
                <w:rFonts w:hint="eastAsia"/>
                <w:b/>
                <w:bCs/>
                <w:szCs w:val="21"/>
              </w:rPr>
              <w:t>生产</w:t>
            </w:r>
          </w:p>
          <w:p>
            <w:pPr>
              <w:jc w:val="center"/>
              <w:rPr>
                <w:b/>
                <w:bCs/>
                <w:szCs w:val="21"/>
              </w:rPr>
            </w:pPr>
            <w:r>
              <w:rPr>
                <w:rFonts w:hint="eastAsia"/>
                <w:b/>
                <w:bCs/>
                <w:szCs w:val="21"/>
              </w:rPr>
              <w:t>区域</w:t>
            </w:r>
          </w:p>
        </w:tc>
        <w:tc>
          <w:tcPr>
            <w:tcW w:w="711" w:type="dxa"/>
            <w:tcBorders>
              <w:top w:val="single" w:color="auto" w:sz="12" w:space="0"/>
            </w:tcBorders>
            <w:vAlign w:val="center"/>
          </w:tcPr>
          <w:p>
            <w:pPr>
              <w:jc w:val="center"/>
              <w:rPr>
                <w:b/>
                <w:bCs/>
                <w:szCs w:val="21"/>
              </w:rPr>
            </w:pPr>
            <w:r>
              <w:rPr>
                <w:rFonts w:hint="eastAsia"/>
                <w:b/>
                <w:bCs/>
                <w:szCs w:val="21"/>
              </w:rPr>
              <w:t>监测</w:t>
            </w:r>
          </w:p>
          <w:p>
            <w:pPr>
              <w:jc w:val="center"/>
              <w:rPr>
                <w:b/>
                <w:bCs/>
                <w:szCs w:val="21"/>
              </w:rPr>
            </w:pPr>
            <w:r>
              <w:rPr>
                <w:rFonts w:hint="eastAsia"/>
                <w:b/>
                <w:bCs/>
                <w:szCs w:val="21"/>
              </w:rPr>
              <w:t>项目</w:t>
            </w:r>
          </w:p>
        </w:tc>
        <w:tc>
          <w:tcPr>
            <w:tcW w:w="851" w:type="dxa"/>
            <w:tcBorders>
              <w:top w:val="single" w:color="auto" w:sz="12" w:space="0"/>
              <w:right w:val="single" w:color="auto" w:sz="4" w:space="0"/>
            </w:tcBorders>
            <w:vAlign w:val="center"/>
          </w:tcPr>
          <w:p>
            <w:pPr>
              <w:jc w:val="center"/>
              <w:rPr>
                <w:b/>
                <w:bCs/>
                <w:szCs w:val="21"/>
              </w:rPr>
            </w:pPr>
            <w:r>
              <w:rPr>
                <w:rFonts w:hint="eastAsia"/>
                <w:b/>
                <w:bCs/>
                <w:szCs w:val="21"/>
              </w:rPr>
              <w:t>频次</w:t>
            </w:r>
          </w:p>
        </w:tc>
        <w:tc>
          <w:tcPr>
            <w:tcW w:w="6643" w:type="dxa"/>
            <w:tcBorders>
              <w:top w:val="single" w:color="auto" w:sz="12" w:space="0"/>
            </w:tcBorders>
            <w:vAlign w:val="center"/>
          </w:tcPr>
          <w:p>
            <w:pPr>
              <w:jc w:val="center"/>
              <w:rPr>
                <w:b/>
                <w:bCs/>
                <w:szCs w:val="21"/>
              </w:rPr>
            </w:pPr>
            <w:r>
              <w:rPr>
                <w:rFonts w:hint="eastAsia"/>
                <w:b/>
                <w:bCs/>
                <w:szCs w:val="21"/>
              </w:rPr>
              <w:t>污染物监测指标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510" w:type="dxa"/>
            <w:vAlign w:val="center"/>
          </w:tcPr>
          <w:p>
            <w:pPr>
              <w:jc w:val="center"/>
              <w:rPr>
                <w:szCs w:val="21"/>
              </w:rPr>
            </w:pPr>
            <w:r>
              <w:rPr>
                <w:szCs w:val="21"/>
              </w:rPr>
              <w:t>1</w:t>
            </w:r>
          </w:p>
        </w:tc>
        <w:tc>
          <w:tcPr>
            <w:tcW w:w="1161" w:type="dxa"/>
            <w:vAlign w:val="center"/>
          </w:tcPr>
          <w:p>
            <w:pPr>
              <w:jc w:val="center"/>
              <w:rPr>
                <w:szCs w:val="21"/>
              </w:rPr>
            </w:pPr>
            <w:r>
              <w:rPr>
                <w:rFonts w:hint="eastAsia"/>
                <w:szCs w:val="21"/>
              </w:rPr>
              <w:t>原料场区</w:t>
            </w:r>
          </w:p>
        </w:tc>
        <w:tc>
          <w:tcPr>
            <w:tcW w:w="711" w:type="dxa"/>
            <w:vMerge w:val="restart"/>
            <w:vAlign w:val="center"/>
          </w:tcPr>
          <w:p>
            <w:pPr>
              <w:jc w:val="center"/>
              <w:rPr>
                <w:szCs w:val="21"/>
              </w:rPr>
            </w:pPr>
            <w:r>
              <w:rPr>
                <w:rFonts w:hint="eastAsia"/>
                <w:szCs w:val="21"/>
              </w:rPr>
              <w:t>土壤</w:t>
            </w:r>
          </w:p>
        </w:tc>
        <w:tc>
          <w:tcPr>
            <w:tcW w:w="851" w:type="dxa"/>
            <w:tcBorders>
              <w:right w:val="single" w:color="auto" w:sz="4" w:space="0"/>
            </w:tcBorders>
            <w:vAlign w:val="center"/>
          </w:tcPr>
          <w:p>
            <w:pPr>
              <w:jc w:val="center"/>
              <w:rPr>
                <w:szCs w:val="21"/>
              </w:rPr>
            </w:pPr>
            <w:r>
              <w:rPr>
                <w:rFonts w:hint="eastAsia"/>
                <w:szCs w:val="21"/>
              </w:rPr>
              <w:t>一次/年</w:t>
            </w:r>
          </w:p>
        </w:tc>
        <w:tc>
          <w:tcPr>
            <w:tcW w:w="6643" w:type="dxa"/>
            <w:vAlign w:val="center"/>
          </w:tcPr>
          <w:p>
            <w:pPr>
              <w:jc w:val="center"/>
              <w:rPr>
                <w:szCs w:val="21"/>
              </w:rPr>
            </w:pPr>
            <w:r>
              <w:rPr>
                <w:rFonts w:hint="eastAsia"/>
                <w:szCs w:val="21"/>
              </w:rPr>
              <w:t>镉、铅、铬（六价）、铜、锌、镍、汞、砷、锰、钴、硒、钒、锑、铊、铍、钼、</w:t>
            </w:r>
            <w:r>
              <w:rPr>
                <w:szCs w:val="21"/>
              </w:rPr>
              <w:t>pH</w:t>
            </w:r>
            <w:r>
              <w:rPr>
                <w:rFonts w:hint="eastAsia"/>
                <w:szCs w:val="21"/>
              </w:rPr>
              <w:t>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510" w:type="dxa"/>
            <w:vAlign w:val="center"/>
          </w:tcPr>
          <w:p>
            <w:pPr>
              <w:jc w:val="center"/>
              <w:rPr>
                <w:szCs w:val="21"/>
              </w:rPr>
            </w:pPr>
            <w:r>
              <w:rPr>
                <w:rFonts w:hint="eastAsia"/>
                <w:szCs w:val="21"/>
              </w:rPr>
              <w:t>2</w:t>
            </w:r>
          </w:p>
        </w:tc>
        <w:tc>
          <w:tcPr>
            <w:tcW w:w="1161" w:type="dxa"/>
            <w:vAlign w:val="center"/>
          </w:tcPr>
          <w:p>
            <w:pPr>
              <w:jc w:val="center"/>
              <w:rPr>
                <w:szCs w:val="21"/>
              </w:rPr>
            </w:pPr>
            <w:r>
              <w:rPr>
                <w:rFonts w:hint="eastAsia"/>
                <w:szCs w:val="21"/>
              </w:rPr>
              <w:t>高炉、烧结区</w:t>
            </w:r>
          </w:p>
        </w:tc>
        <w:tc>
          <w:tcPr>
            <w:tcW w:w="711" w:type="dxa"/>
            <w:vMerge w:val="continue"/>
            <w:vAlign w:val="center"/>
          </w:tcPr>
          <w:p>
            <w:pPr>
              <w:jc w:val="center"/>
              <w:rPr>
                <w:szCs w:val="21"/>
              </w:rPr>
            </w:pPr>
          </w:p>
        </w:tc>
        <w:tc>
          <w:tcPr>
            <w:tcW w:w="851" w:type="dxa"/>
            <w:tcBorders>
              <w:right w:val="single" w:color="auto" w:sz="4" w:space="0"/>
            </w:tcBorders>
            <w:vAlign w:val="center"/>
          </w:tcPr>
          <w:p>
            <w:pPr>
              <w:jc w:val="center"/>
            </w:pPr>
            <w:r>
              <w:rPr>
                <w:rFonts w:hint="eastAsia"/>
                <w:szCs w:val="21"/>
              </w:rPr>
              <w:t>一次/年</w:t>
            </w:r>
          </w:p>
        </w:tc>
        <w:tc>
          <w:tcPr>
            <w:tcW w:w="6643" w:type="dxa"/>
            <w:vAlign w:val="center"/>
          </w:tcPr>
          <w:p>
            <w:pPr>
              <w:jc w:val="center"/>
              <w:rPr>
                <w:szCs w:val="21"/>
              </w:rPr>
            </w:pPr>
            <w:r>
              <w:rPr>
                <w:rFonts w:hint="eastAsia"/>
                <w:szCs w:val="21"/>
              </w:rPr>
              <w:t>镉、铅、铬、铜、锌、镍、汞、砷、锰、钴、硒、钒、锑、铊、铍、钼、苊烯、苊、芴、菲、蒽、荧蒽、芘、苯并</w:t>
            </w:r>
            <w:r>
              <w:rPr>
                <w:szCs w:val="21"/>
              </w:rPr>
              <w:t>[a]</w:t>
            </w:r>
            <w:r>
              <w:rPr>
                <w:rFonts w:hint="eastAsia"/>
                <w:szCs w:val="21"/>
              </w:rPr>
              <w:t>蒽、屈、苯并</w:t>
            </w:r>
            <w:r>
              <w:rPr>
                <w:szCs w:val="21"/>
              </w:rPr>
              <w:t>[b]</w:t>
            </w:r>
            <w:r>
              <w:rPr>
                <w:rFonts w:hint="eastAsia"/>
                <w:szCs w:val="21"/>
              </w:rPr>
              <w:t>荧蒽、苯并</w:t>
            </w:r>
            <w:r>
              <w:rPr>
                <w:szCs w:val="21"/>
              </w:rPr>
              <w:t>[k]</w:t>
            </w:r>
            <w:r>
              <w:rPr>
                <w:rFonts w:hint="eastAsia"/>
                <w:szCs w:val="21"/>
              </w:rPr>
              <w:t>荧蒽、苯并</w:t>
            </w:r>
            <w:r>
              <w:rPr>
                <w:szCs w:val="21"/>
              </w:rPr>
              <w:t>[a]</w:t>
            </w:r>
            <w:r>
              <w:rPr>
                <w:rFonts w:hint="eastAsia"/>
                <w:szCs w:val="21"/>
              </w:rPr>
              <w:t>芘、茚并</w:t>
            </w:r>
            <w:r>
              <w:rPr>
                <w:szCs w:val="21"/>
              </w:rPr>
              <w:t>[1,2,3-cd]</w:t>
            </w:r>
            <w:r>
              <w:rPr>
                <w:rFonts w:hint="eastAsia"/>
                <w:szCs w:val="21"/>
              </w:rPr>
              <w:t>芘、二苯并</w:t>
            </w:r>
            <w:r>
              <w:rPr>
                <w:szCs w:val="21"/>
              </w:rPr>
              <w:t>[a,h]</w:t>
            </w:r>
            <w:r>
              <w:rPr>
                <w:rFonts w:hint="eastAsia"/>
                <w:szCs w:val="21"/>
              </w:rPr>
              <w:t>蒽和苯并</w:t>
            </w:r>
            <w:r>
              <w:rPr>
                <w:szCs w:val="21"/>
              </w:rPr>
              <w:t>[g,h,i]</w:t>
            </w:r>
            <w:r>
              <w:rPr>
                <w:rFonts w:hint="eastAsia"/>
                <w:szCs w:val="21"/>
              </w:rPr>
              <w:t>苝、石油烃（</w:t>
            </w:r>
            <w:r>
              <w:rPr>
                <w:szCs w:val="21"/>
              </w:rPr>
              <w:t>C</w:t>
            </w:r>
            <w:r>
              <w:rPr>
                <w:szCs w:val="21"/>
                <w:vertAlign w:val="subscript"/>
              </w:rPr>
              <w:t>10</w:t>
            </w:r>
            <w:r>
              <w:rPr>
                <w:szCs w:val="21"/>
              </w:rPr>
              <w:t>-C</w:t>
            </w:r>
            <w:r>
              <w:rPr>
                <w:szCs w:val="21"/>
                <w:vertAlign w:val="subscript"/>
              </w:rPr>
              <w:t>40</w:t>
            </w:r>
            <w:r>
              <w:rPr>
                <w:rFonts w:hint="eastAsia"/>
                <w:szCs w:val="21"/>
              </w:rPr>
              <w:t>）、二噁英类（总毒性当量）、</w:t>
            </w:r>
            <w:r>
              <w:rPr>
                <w:szCs w:val="21"/>
              </w:rPr>
              <w:t>pH</w:t>
            </w:r>
            <w:r>
              <w:rPr>
                <w:rFonts w:hint="eastAsia"/>
                <w:szCs w:val="21"/>
              </w:rPr>
              <w:t>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510" w:type="dxa"/>
            <w:vAlign w:val="center"/>
          </w:tcPr>
          <w:p>
            <w:pPr>
              <w:jc w:val="center"/>
              <w:rPr>
                <w:szCs w:val="21"/>
              </w:rPr>
            </w:pPr>
            <w:r>
              <w:rPr>
                <w:rFonts w:hint="eastAsia"/>
                <w:szCs w:val="21"/>
              </w:rPr>
              <w:t>3</w:t>
            </w:r>
          </w:p>
        </w:tc>
        <w:tc>
          <w:tcPr>
            <w:tcW w:w="1161" w:type="dxa"/>
            <w:vAlign w:val="center"/>
          </w:tcPr>
          <w:p>
            <w:pPr>
              <w:jc w:val="center"/>
              <w:rPr>
                <w:szCs w:val="21"/>
              </w:rPr>
            </w:pPr>
            <w:r>
              <w:rPr>
                <w:rFonts w:hint="eastAsia"/>
                <w:szCs w:val="21"/>
              </w:rPr>
              <w:t>电炉区</w:t>
            </w:r>
          </w:p>
        </w:tc>
        <w:tc>
          <w:tcPr>
            <w:tcW w:w="711" w:type="dxa"/>
            <w:vMerge w:val="continue"/>
            <w:vAlign w:val="center"/>
          </w:tcPr>
          <w:p>
            <w:pPr>
              <w:jc w:val="center"/>
              <w:rPr>
                <w:szCs w:val="21"/>
              </w:rPr>
            </w:pPr>
          </w:p>
        </w:tc>
        <w:tc>
          <w:tcPr>
            <w:tcW w:w="851" w:type="dxa"/>
            <w:tcBorders>
              <w:right w:val="single" w:color="auto" w:sz="4" w:space="0"/>
            </w:tcBorders>
            <w:vAlign w:val="center"/>
          </w:tcPr>
          <w:p>
            <w:pPr>
              <w:jc w:val="center"/>
            </w:pPr>
            <w:r>
              <w:rPr>
                <w:rFonts w:hint="eastAsia"/>
                <w:szCs w:val="21"/>
              </w:rPr>
              <w:t>一次/年</w:t>
            </w:r>
          </w:p>
        </w:tc>
        <w:tc>
          <w:tcPr>
            <w:tcW w:w="6643" w:type="dxa"/>
            <w:vAlign w:val="center"/>
          </w:tcPr>
          <w:p>
            <w:pPr>
              <w:jc w:val="center"/>
              <w:rPr>
                <w:szCs w:val="21"/>
              </w:rPr>
            </w:pPr>
            <w:r>
              <w:rPr>
                <w:rFonts w:hint="eastAsia"/>
                <w:szCs w:val="21"/>
              </w:rPr>
              <w:t>镉、铅、铬、铜、锌、镍、汞、砷、锰、钴、硒、钒、锑、铊、铍、钼、二噁英类（总毒性当量）、</w:t>
            </w:r>
            <w:r>
              <w:rPr>
                <w:szCs w:val="21"/>
              </w:rPr>
              <w:t>pH</w:t>
            </w:r>
            <w:r>
              <w:rPr>
                <w:rFonts w:hint="eastAsia"/>
                <w:szCs w:val="21"/>
              </w:rPr>
              <w:t>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510" w:type="dxa"/>
            <w:vAlign w:val="center"/>
          </w:tcPr>
          <w:p>
            <w:pPr>
              <w:jc w:val="center"/>
              <w:rPr>
                <w:szCs w:val="21"/>
              </w:rPr>
            </w:pPr>
            <w:r>
              <w:rPr>
                <w:rFonts w:hint="eastAsia"/>
                <w:szCs w:val="21"/>
              </w:rPr>
              <w:t>4</w:t>
            </w:r>
          </w:p>
        </w:tc>
        <w:tc>
          <w:tcPr>
            <w:tcW w:w="1161" w:type="dxa"/>
            <w:vAlign w:val="center"/>
          </w:tcPr>
          <w:p>
            <w:pPr>
              <w:jc w:val="center"/>
              <w:rPr>
                <w:szCs w:val="21"/>
              </w:rPr>
            </w:pPr>
            <w:r>
              <w:rPr>
                <w:rFonts w:hint="eastAsia"/>
                <w:szCs w:val="21"/>
              </w:rPr>
              <w:t>轧管及管加工区</w:t>
            </w:r>
          </w:p>
        </w:tc>
        <w:tc>
          <w:tcPr>
            <w:tcW w:w="711" w:type="dxa"/>
            <w:vMerge w:val="continue"/>
            <w:vAlign w:val="center"/>
          </w:tcPr>
          <w:p>
            <w:pPr>
              <w:jc w:val="center"/>
              <w:rPr>
                <w:szCs w:val="21"/>
              </w:rPr>
            </w:pPr>
          </w:p>
        </w:tc>
        <w:tc>
          <w:tcPr>
            <w:tcW w:w="851" w:type="dxa"/>
            <w:tcBorders>
              <w:right w:val="single" w:color="auto" w:sz="4" w:space="0"/>
            </w:tcBorders>
            <w:vAlign w:val="center"/>
          </w:tcPr>
          <w:p>
            <w:pPr>
              <w:jc w:val="center"/>
            </w:pPr>
            <w:r>
              <w:rPr>
                <w:rFonts w:hint="eastAsia"/>
                <w:szCs w:val="21"/>
              </w:rPr>
              <w:t>一次/年</w:t>
            </w:r>
          </w:p>
        </w:tc>
        <w:tc>
          <w:tcPr>
            <w:tcW w:w="6643" w:type="dxa"/>
            <w:vAlign w:val="center"/>
          </w:tcPr>
          <w:p>
            <w:pPr>
              <w:jc w:val="center"/>
              <w:rPr>
                <w:szCs w:val="21"/>
              </w:rPr>
            </w:pPr>
            <w:r>
              <w:rPr>
                <w:rFonts w:hint="eastAsia"/>
                <w:szCs w:val="21"/>
              </w:rPr>
              <w:t>镉、铅、铬（六价）、铜、锌、镍、汞、砷、锰、钴、硒、钒、锑、铊、铍、钼、</w:t>
            </w:r>
            <w:r>
              <w:rPr>
                <w:szCs w:val="21"/>
              </w:rPr>
              <w:t>C10-C40</w:t>
            </w:r>
            <w:r>
              <w:rPr>
                <w:rFonts w:hint="eastAsia"/>
                <w:szCs w:val="21"/>
              </w:rPr>
              <w:t>总量、</w:t>
            </w:r>
            <w:r>
              <w:rPr>
                <w:szCs w:val="21"/>
              </w:rPr>
              <w:t>pH</w:t>
            </w:r>
            <w:r>
              <w:rPr>
                <w:rFonts w:hint="eastAsia"/>
                <w:szCs w:val="21"/>
              </w:rPr>
              <w:t>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510" w:type="dxa"/>
            <w:vAlign w:val="center"/>
          </w:tcPr>
          <w:p>
            <w:pPr>
              <w:jc w:val="center"/>
              <w:rPr>
                <w:szCs w:val="21"/>
              </w:rPr>
            </w:pPr>
            <w:r>
              <w:rPr>
                <w:rFonts w:hint="eastAsia"/>
                <w:szCs w:val="21"/>
              </w:rPr>
              <w:t>5</w:t>
            </w:r>
          </w:p>
        </w:tc>
        <w:tc>
          <w:tcPr>
            <w:tcW w:w="1161" w:type="dxa"/>
            <w:vAlign w:val="center"/>
          </w:tcPr>
          <w:p>
            <w:pPr>
              <w:jc w:val="center"/>
              <w:rPr>
                <w:szCs w:val="21"/>
              </w:rPr>
            </w:pPr>
            <w:r>
              <w:rPr>
                <w:rFonts w:hint="eastAsia"/>
                <w:szCs w:val="21"/>
              </w:rPr>
              <w:t>废水处理区</w:t>
            </w:r>
          </w:p>
        </w:tc>
        <w:tc>
          <w:tcPr>
            <w:tcW w:w="711" w:type="dxa"/>
            <w:vMerge w:val="continue"/>
            <w:vAlign w:val="center"/>
          </w:tcPr>
          <w:p>
            <w:pPr>
              <w:jc w:val="center"/>
              <w:rPr>
                <w:szCs w:val="21"/>
              </w:rPr>
            </w:pPr>
          </w:p>
        </w:tc>
        <w:tc>
          <w:tcPr>
            <w:tcW w:w="851" w:type="dxa"/>
            <w:tcBorders>
              <w:right w:val="single" w:color="auto" w:sz="4" w:space="0"/>
            </w:tcBorders>
            <w:vAlign w:val="center"/>
          </w:tcPr>
          <w:p>
            <w:pPr>
              <w:jc w:val="center"/>
            </w:pPr>
            <w:r>
              <w:rPr>
                <w:rFonts w:hint="eastAsia"/>
                <w:szCs w:val="21"/>
              </w:rPr>
              <w:t>一次/年</w:t>
            </w:r>
          </w:p>
        </w:tc>
        <w:tc>
          <w:tcPr>
            <w:tcW w:w="6643" w:type="dxa"/>
            <w:vAlign w:val="center"/>
          </w:tcPr>
          <w:p>
            <w:pPr>
              <w:jc w:val="center"/>
              <w:rPr>
                <w:szCs w:val="21"/>
              </w:rPr>
            </w:pPr>
            <w:r>
              <w:rPr>
                <w:rFonts w:hint="eastAsia"/>
                <w:szCs w:val="21"/>
              </w:rPr>
              <w:t>镉、铅、铬（六价）、铜、锌、镍、汞、砷、锰、钴、硒、钒、锑、铊、铍、钼、</w:t>
            </w:r>
            <w:r>
              <w:rPr>
                <w:szCs w:val="21"/>
              </w:rPr>
              <w:t>pH</w:t>
            </w:r>
            <w:r>
              <w:rPr>
                <w:rFonts w:hint="eastAsia"/>
                <w:szCs w:val="21"/>
              </w:rPr>
              <w:t>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510" w:type="dxa"/>
            <w:vAlign w:val="center"/>
          </w:tcPr>
          <w:p>
            <w:pPr>
              <w:jc w:val="center"/>
              <w:rPr>
                <w:szCs w:val="21"/>
              </w:rPr>
            </w:pPr>
            <w:r>
              <w:rPr>
                <w:rFonts w:hint="eastAsia"/>
                <w:szCs w:val="21"/>
              </w:rPr>
              <w:t>6</w:t>
            </w:r>
          </w:p>
        </w:tc>
        <w:tc>
          <w:tcPr>
            <w:tcW w:w="1161" w:type="dxa"/>
            <w:vAlign w:val="center"/>
          </w:tcPr>
          <w:p>
            <w:pPr>
              <w:jc w:val="center"/>
              <w:rPr>
                <w:szCs w:val="21"/>
              </w:rPr>
            </w:pPr>
            <w:r>
              <w:rPr>
                <w:rFonts w:hint="eastAsia"/>
                <w:szCs w:val="21"/>
              </w:rPr>
              <w:t>危废暂存区</w:t>
            </w:r>
          </w:p>
        </w:tc>
        <w:tc>
          <w:tcPr>
            <w:tcW w:w="711" w:type="dxa"/>
            <w:vMerge w:val="continue"/>
            <w:vAlign w:val="center"/>
          </w:tcPr>
          <w:p>
            <w:pPr>
              <w:jc w:val="center"/>
              <w:rPr>
                <w:szCs w:val="21"/>
              </w:rPr>
            </w:pPr>
          </w:p>
        </w:tc>
        <w:tc>
          <w:tcPr>
            <w:tcW w:w="851" w:type="dxa"/>
            <w:tcBorders>
              <w:right w:val="single" w:color="auto" w:sz="4" w:space="0"/>
            </w:tcBorders>
            <w:vAlign w:val="center"/>
          </w:tcPr>
          <w:p>
            <w:pPr>
              <w:jc w:val="center"/>
            </w:pPr>
            <w:r>
              <w:rPr>
                <w:rFonts w:hint="eastAsia"/>
                <w:szCs w:val="21"/>
              </w:rPr>
              <w:t>一次/年</w:t>
            </w:r>
          </w:p>
        </w:tc>
        <w:tc>
          <w:tcPr>
            <w:tcW w:w="6643" w:type="dxa"/>
            <w:vAlign w:val="center"/>
          </w:tcPr>
          <w:p>
            <w:pPr>
              <w:jc w:val="center"/>
              <w:rPr>
                <w:szCs w:val="21"/>
              </w:rPr>
            </w:pPr>
            <w:r>
              <w:rPr>
                <w:rFonts w:hint="eastAsia"/>
                <w:szCs w:val="21"/>
              </w:rPr>
              <w:t>镉、铅、铬（六价）、铜、锌、镍、汞、砷、锰、钴、硒、钒、锑、铊、铍、钼、二噁英类（总毒性当量）、</w:t>
            </w:r>
            <w:r>
              <w:rPr>
                <w:szCs w:val="21"/>
              </w:rPr>
              <w:t>pH</w:t>
            </w:r>
            <w:r>
              <w:rPr>
                <w:rFonts w:hint="eastAsia"/>
                <w:szCs w:val="21"/>
              </w:rPr>
              <w:t>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510" w:type="dxa"/>
            <w:tcBorders>
              <w:bottom w:val="single" w:color="auto" w:sz="12" w:space="0"/>
            </w:tcBorders>
            <w:vAlign w:val="center"/>
          </w:tcPr>
          <w:p>
            <w:pPr>
              <w:jc w:val="center"/>
              <w:rPr>
                <w:szCs w:val="21"/>
              </w:rPr>
            </w:pPr>
            <w:r>
              <w:rPr>
                <w:rFonts w:hint="eastAsia"/>
                <w:szCs w:val="21"/>
              </w:rPr>
              <w:t>7</w:t>
            </w:r>
          </w:p>
        </w:tc>
        <w:tc>
          <w:tcPr>
            <w:tcW w:w="1161" w:type="dxa"/>
            <w:tcBorders>
              <w:bottom w:val="single" w:color="auto" w:sz="12" w:space="0"/>
            </w:tcBorders>
            <w:vAlign w:val="center"/>
          </w:tcPr>
          <w:p>
            <w:pPr>
              <w:jc w:val="center"/>
              <w:rPr>
                <w:szCs w:val="21"/>
              </w:rPr>
            </w:pPr>
            <w:r>
              <w:rPr>
                <w:rFonts w:hint="eastAsia"/>
                <w:szCs w:val="21"/>
              </w:rPr>
              <w:t>背景监测点</w:t>
            </w:r>
          </w:p>
        </w:tc>
        <w:tc>
          <w:tcPr>
            <w:tcW w:w="711" w:type="dxa"/>
            <w:vMerge w:val="continue"/>
            <w:tcBorders>
              <w:bottom w:val="single" w:color="auto" w:sz="12" w:space="0"/>
            </w:tcBorders>
            <w:vAlign w:val="center"/>
          </w:tcPr>
          <w:p>
            <w:pPr>
              <w:jc w:val="center"/>
              <w:rPr>
                <w:szCs w:val="21"/>
              </w:rPr>
            </w:pPr>
          </w:p>
        </w:tc>
        <w:tc>
          <w:tcPr>
            <w:tcW w:w="851" w:type="dxa"/>
            <w:tcBorders>
              <w:bottom w:val="single" w:color="auto" w:sz="12" w:space="0"/>
              <w:right w:val="single" w:color="auto" w:sz="4" w:space="0"/>
            </w:tcBorders>
            <w:vAlign w:val="center"/>
          </w:tcPr>
          <w:p>
            <w:pPr>
              <w:jc w:val="center"/>
            </w:pPr>
            <w:r>
              <w:rPr>
                <w:rFonts w:hint="eastAsia"/>
                <w:szCs w:val="21"/>
              </w:rPr>
              <w:t>一次/年</w:t>
            </w:r>
          </w:p>
        </w:tc>
        <w:tc>
          <w:tcPr>
            <w:tcW w:w="6643" w:type="dxa"/>
            <w:tcBorders>
              <w:bottom w:val="single" w:color="auto" w:sz="12" w:space="0"/>
            </w:tcBorders>
            <w:vAlign w:val="center"/>
          </w:tcPr>
          <w:p>
            <w:pPr>
              <w:jc w:val="center"/>
              <w:rPr>
                <w:szCs w:val="21"/>
              </w:rPr>
            </w:pPr>
            <w:r>
              <w:rPr>
                <w:rFonts w:hint="eastAsia"/>
                <w:szCs w:val="21"/>
              </w:rPr>
              <w:t>镉、铅、铬（六价）、铜、锌、镍、汞、砷、锰、钴、硒、钒、锑、铊、铍、钼、苊烯、苊、芴、菲、蒽、荧蒽、芘、苯并</w:t>
            </w:r>
            <w:r>
              <w:rPr>
                <w:szCs w:val="21"/>
              </w:rPr>
              <w:t>[a]</w:t>
            </w:r>
            <w:r>
              <w:rPr>
                <w:rFonts w:hint="eastAsia"/>
                <w:szCs w:val="21"/>
              </w:rPr>
              <w:t>蒽、屈、苯并</w:t>
            </w:r>
            <w:r>
              <w:rPr>
                <w:szCs w:val="21"/>
              </w:rPr>
              <w:t>[b]</w:t>
            </w:r>
            <w:r>
              <w:rPr>
                <w:rFonts w:hint="eastAsia"/>
                <w:szCs w:val="21"/>
              </w:rPr>
              <w:t>荧蒽、苯并</w:t>
            </w:r>
            <w:r>
              <w:rPr>
                <w:szCs w:val="21"/>
              </w:rPr>
              <w:t>[k]</w:t>
            </w:r>
            <w:r>
              <w:rPr>
                <w:rFonts w:hint="eastAsia"/>
                <w:szCs w:val="21"/>
              </w:rPr>
              <w:t>荧蒽、苯并</w:t>
            </w:r>
            <w:r>
              <w:rPr>
                <w:szCs w:val="21"/>
              </w:rPr>
              <w:t>[a]</w:t>
            </w:r>
            <w:r>
              <w:rPr>
                <w:rFonts w:hint="eastAsia"/>
                <w:szCs w:val="21"/>
              </w:rPr>
              <w:t>芘、茚并</w:t>
            </w:r>
            <w:r>
              <w:rPr>
                <w:szCs w:val="21"/>
              </w:rPr>
              <w:t>[1,2,3-cd]</w:t>
            </w:r>
            <w:r>
              <w:rPr>
                <w:rFonts w:hint="eastAsia"/>
                <w:szCs w:val="21"/>
              </w:rPr>
              <w:t>芘、二苯并</w:t>
            </w:r>
            <w:r>
              <w:rPr>
                <w:szCs w:val="21"/>
              </w:rPr>
              <w:t>[a,h]</w:t>
            </w:r>
            <w:r>
              <w:rPr>
                <w:rFonts w:hint="eastAsia"/>
                <w:szCs w:val="21"/>
              </w:rPr>
              <w:t>蒽和苯并</w:t>
            </w:r>
            <w:r>
              <w:rPr>
                <w:szCs w:val="21"/>
              </w:rPr>
              <w:t>[g,h,i]</w:t>
            </w:r>
            <w:r>
              <w:rPr>
                <w:rFonts w:hint="eastAsia"/>
                <w:szCs w:val="21"/>
              </w:rPr>
              <w:t>苝、石油烃（</w:t>
            </w:r>
            <w:r>
              <w:rPr>
                <w:szCs w:val="21"/>
              </w:rPr>
              <w:t>C</w:t>
            </w:r>
            <w:r>
              <w:rPr>
                <w:szCs w:val="21"/>
                <w:vertAlign w:val="subscript"/>
              </w:rPr>
              <w:t>10</w:t>
            </w:r>
            <w:r>
              <w:rPr>
                <w:szCs w:val="21"/>
              </w:rPr>
              <w:t>-C</w:t>
            </w:r>
            <w:r>
              <w:rPr>
                <w:szCs w:val="21"/>
                <w:vertAlign w:val="subscript"/>
              </w:rPr>
              <w:t>40</w:t>
            </w:r>
            <w:r>
              <w:rPr>
                <w:rFonts w:hint="eastAsia"/>
                <w:szCs w:val="21"/>
              </w:rPr>
              <w:t>）、二噁英类（总毒性当量）、</w:t>
            </w:r>
            <w:r>
              <w:rPr>
                <w:szCs w:val="21"/>
              </w:rPr>
              <w:t>pH</w:t>
            </w:r>
            <w:r>
              <w:rPr>
                <w:rFonts w:hint="eastAsia"/>
                <w:szCs w:val="21"/>
              </w:rPr>
              <w:t>值</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jc w:val="center"/>
        </w:trPr>
        <w:tc>
          <w:tcPr>
            <w:tcW w:w="510" w:type="dxa"/>
            <w:tcBorders>
              <w:bottom w:val="single" w:color="auto" w:sz="12" w:space="0"/>
            </w:tcBorders>
            <w:vAlign w:val="center"/>
          </w:tcPr>
          <w:p>
            <w:pPr>
              <w:jc w:val="center"/>
              <w:rPr>
                <w:szCs w:val="21"/>
              </w:rPr>
            </w:pPr>
            <w:r>
              <w:rPr>
                <w:rFonts w:hint="eastAsia"/>
                <w:szCs w:val="21"/>
              </w:rPr>
              <w:t>8</w:t>
            </w:r>
          </w:p>
        </w:tc>
        <w:tc>
          <w:tcPr>
            <w:tcW w:w="1161" w:type="dxa"/>
            <w:tcBorders>
              <w:bottom w:val="single" w:color="auto" w:sz="12" w:space="0"/>
            </w:tcBorders>
            <w:vAlign w:val="center"/>
          </w:tcPr>
          <w:p>
            <w:pPr>
              <w:jc w:val="center"/>
              <w:rPr>
                <w:szCs w:val="21"/>
              </w:rPr>
            </w:pPr>
            <w:r>
              <w:rPr>
                <w:rFonts w:hint="eastAsia"/>
                <w:szCs w:val="21"/>
              </w:rPr>
              <w:t>废水处理区</w:t>
            </w:r>
          </w:p>
        </w:tc>
        <w:tc>
          <w:tcPr>
            <w:tcW w:w="711" w:type="dxa"/>
            <w:tcBorders>
              <w:bottom w:val="single" w:color="auto" w:sz="12" w:space="0"/>
            </w:tcBorders>
            <w:vAlign w:val="center"/>
          </w:tcPr>
          <w:p>
            <w:pPr>
              <w:jc w:val="center"/>
              <w:rPr>
                <w:szCs w:val="21"/>
              </w:rPr>
            </w:pPr>
            <w:r>
              <w:rPr>
                <w:rFonts w:hint="eastAsia"/>
                <w:szCs w:val="21"/>
              </w:rPr>
              <w:t>地下水</w:t>
            </w:r>
          </w:p>
        </w:tc>
        <w:tc>
          <w:tcPr>
            <w:tcW w:w="851" w:type="dxa"/>
            <w:tcBorders>
              <w:bottom w:val="single" w:color="auto" w:sz="12" w:space="0"/>
              <w:right w:val="single" w:color="auto" w:sz="4" w:space="0"/>
            </w:tcBorders>
            <w:vAlign w:val="center"/>
          </w:tcPr>
          <w:p>
            <w:pPr>
              <w:jc w:val="center"/>
            </w:pPr>
            <w:r>
              <w:rPr>
                <w:rFonts w:hint="eastAsia"/>
                <w:szCs w:val="21"/>
              </w:rPr>
              <w:t>一次/年</w:t>
            </w:r>
          </w:p>
        </w:tc>
        <w:tc>
          <w:tcPr>
            <w:tcW w:w="6643" w:type="dxa"/>
            <w:tcBorders>
              <w:bottom w:val="single" w:color="auto" w:sz="12" w:space="0"/>
            </w:tcBorders>
            <w:vAlign w:val="center"/>
          </w:tcPr>
          <w:p>
            <w:pPr>
              <w:jc w:val="center"/>
              <w:rPr>
                <w:szCs w:val="21"/>
              </w:rPr>
            </w:pPr>
            <w:r>
              <w:rPr>
                <w:rFonts w:hint="eastAsia"/>
                <w:szCs w:val="21"/>
              </w:rPr>
              <w:t>镉、铅、铬（六价）、铜、锌、镍、汞、砷、锰、钴、硒、钒、锑、铊、铍、钼、苊烯、苊、芴、菲、蒽、荧蒽、芘、苯并</w:t>
            </w:r>
            <w:r>
              <w:rPr>
                <w:szCs w:val="21"/>
              </w:rPr>
              <w:t>[a]</w:t>
            </w:r>
            <w:r>
              <w:rPr>
                <w:rFonts w:hint="eastAsia"/>
                <w:szCs w:val="21"/>
              </w:rPr>
              <w:t>蒽、屈、苯并</w:t>
            </w:r>
            <w:r>
              <w:rPr>
                <w:szCs w:val="21"/>
              </w:rPr>
              <w:t>[b]</w:t>
            </w:r>
            <w:r>
              <w:rPr>
                <w:rFonts w:hint="eastAsia"/>
                <w:szCs w:val="21"/>
              </w:rPr>
              <w:t>荧蒽、苯并</w:t>
            </w:r>
            <w:r>
              <w:rPr>
                <w:szCs w:val="21"/>
              </w:rPr>
              <w:t>[k]</w:t>
            </w:r>
            <w:r>
              <w:rPr>
                <w:rFonts w:hint="eastAsia"/>
                <w:szCs w:val="21"/>
              </w:rPr>
              <w:t>荧蒽、苯并</w:t>
            </w:r>
            <w:r>
              <w:rPr>
                <w:szCs w:val="21"/>
              </w:rPr>
              <w:t>[a]</w:t>
            </w:r>
            <w:r>
              <w:rPr>
                <w:rFonts w:hint="eastAsia"/>
                <w:szCs w:val="21"/>
              </w:rPr>
              <w:t>芘、茚并</w:t>
            </w:r>
            <w:r>
              <w:rPr>
                <w:szCs w:val="21"/>
              </w:rPr>
              <w:t>[1,2,3-cd]</w:t>
            </w:r>
            <w:r>
              <w:rPr>
                <w:rFonts w:hint="eastAsia"/>
                <w:szCs w:val="21"/>
              </w:rPr>
              <w:t>芘、二苯并</w:t>
            </w:r>
            <w:r>
              <w:rPr>
                <w:szCs w:val="21"/>
              </w:rPr>
              <w:t>[a,h]</w:t>
            </w:r>
            <w:r>
              <w:rPr>
                <w:rFonts w:hint="eastAsia"/>
                <w:szCs w:val="21"/>
              </w:rPr>
              <w:t>蒽和苯并</w:t>
            </w:r>
            <w:r>
              <w:rPr>
                <w:szCs w:val="21"/>
              </w:rPr>
              <w:t>[g,h,i]</w:t>
            </w:r>
            <w:r>
              <w:rPr>
                <w:rFonts w:hint="eastAsia"/>
                <w:szCs w:val="21"/>
              </w:rPr>
              <w:t>苝、石油烃（</w:t>
            </w:r>
            <w:r>
              <w:rPr>
                <w:szCs w:val="21"/>
              </w:rPr>
              <w:t>C</w:t>
            </w:r>
            <w:r>
              <w:rPr>
                <w:szCs w:val="21"/>
                <w:vertAlign w:val="subscript"/>
              </w:rPr>
              <w:t>10</w:t>
            </w:r>
            <w:r>
              <w:rPr>
                <w:szCs w:val="21"/>
              </w:rPr>
              <w:t>-C</w:t>
            </w:r>
            <w:r>
              <w:rPr>
                <w:szCs w:val="21"/>
                <w:vertAlign w:val="subscript"/>
              </w:rPr>
              <w:t>40</w:t>
            </w:r>
            <w:r>
              <w:rPr>
                <w:rFonts w:hint="eastAsia"/>
                <w:szCs w:val="21"/>
              </w:rPr>
              <w:t>）、二噁英类（总毒性当量）、</w:t>
            </w:r>
            <w:r>
              <w:rPr>
                <w:szCs w:val="21"/>
              </w:rPr>
              <w:t>pH</w:t>
            </w:r>
            <w:r>
              <w:rPr>
                <w:rFonts w:hint="eastAsia"/>
                <w:szCs w:val="21"/>
              </w:rPr>
              <w:t>值</w:t>
            </w:r>
          </w:p>
        </w:tc>
      </w:tr>
    </w:tbl>
    <w:p>
      <w:pPr>
        <w:pStyle w:val="21"/>
        <w:spacing w:line="400" w:lineRule="exact"/>
        <w:ind w:leftChars="0"/>
        <w:rPr>
          <w:rFonts w:ascii="仿宋" w:hAnsi="仿宋" w:eastAsia="仿宋"/>
          <w:sz w:val="24"/>
        </w:rPr>
      </w:pPr>
      <w:r>
        <w:rPr>
          <w:rFonts w:hint="eastAsia" w:ascii="仿宋" w:hAnsi="仿宋" w:eastAsia="仿宋"/>
          <w:sz w:val="24"/>
        </w:rPr>
        <w:t xml:space="preserve">2.3    </w:t>
      </w:r>
      <w:r>
        <w:rPr>
          <w:rFonts w:ascii="仿宋" w:hAnsi="仿宋" w:eastAsia="仿宋"/>
          <w:sz w:val="24"/>
        </w:rPr>
        <w:t>费</w:t>
      </w:r>
      <w:r>
        <w:rPr>
          <w:rFonts w:hint="eastAsia" w:ascii="仿宋" w:hAnsi="仿宋" w:eastAsia="仿宋"/>
          <w:sz w:val="24"/>
        </w:rPr>
        <w:t>用</w:t>
      </w:r>
      <w:r>
        <w:rPr>
          <w:rFonts w:ascii="仿宋" w:hAnsi="仿宋" w:eastAsia="仿宋"/>
          <w:sz w:val="24"/>
        </w:rPr>
        <w:t>含样品采样费、样品分析费、人员工资补助、差旅费、监测车辆使用费</w:t>
      </w:r>
      <w:r>
        <w:rPr>
          <w:rFonts w:hint="eastAsia" w:ascii="仿宋" w:hAnsi="仿宋" w:eastAsia="仿宋"/>
          <w:sz w:val="24"/>
        </w:rPr>
        <w:t>等所有费用。</w:t>
      </w:r>
    </w:p>
    <w:p>
      <w:r>
        <w:rPr>
          <w:rFonts w:hint="eastAsia" w:ascii="仿宋" w:hAnsi="仿宋" w:eastAsia="仿宋"/>
          <w:color w:val="000000"/>
          <w:sz w:val="24"/>
        </w:rPr>
        <w:t>2.4    承包时间：</w:t>
      </w:r>
      <w:r>
        <w:rPr>
          <w:rFonts w:hint="eastAsia" w:ascii="仿宋" w:hAnsi="仿宋" w:eastAsia="仿宋" w:cs="仿宋"/>
          <w:color w:val="000000"/>
          <w:sz w:val="24"/>
        </w:rPr>
        <w:t>2022年4月-2023年3月</w:t>
      </w:r>
    </w:p>
    <w:p>
      <w:pPr>
        <w:spacing w:line="400" w:lineRule="exact"/>
        <w:rPr>
          <w:rFonts w:ascii="仿宋" w:hAnsi="仿宋" w:eastAsia="仿宋"/>
          <w:sz w:val="24"/>
        </w:rPr>
      </w:pPr>
      <w:r>
        <w:rPr>
          <w:rFonts w:hint="eastAsia" w:ascii="仿宋" w:hAnsi="仿宋" w:eastAsia="仿宋"/>
          <w:sz w:val="24"/>
        </w:rPr>
        <w:t>2.5    工作地点：</w:t>
      </w:r>
      <w:r>
        <w:rPr>
          <w:rFonts w:hint="eastAsia" w:ascii="仿宋" w:hAnsi="仿宋" w:eastAsia="仿宋"/>
          <w:color w:val="000000"/>
          <w:sz w:val="24"/>
        </w:rPr>
        <w:t>衡阳华菱钢管有限公司</w:t>
      </w:r>
    </w:p>
    <w:p>
      <w:pPr>
        <w:pStyle w:val="101"/>
        <w:numPr>
          <w:ilvl w:val="0"/>
          <w:numId w:val="2"/>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投标人资格要求</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 xml:space="preserve">投标人具有独立法人资格并依法取得企业营业执照，营业执照处于有效期内。 </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cs="仿宋"/>
          <w:sz w:val="24"/>
        </w:rPr>
        <w:t>投标人经营范围包含环境监测业务范围，并在人员、技术、服务等方面具备相应的能力。取得《检验检测机构资质认定证书》且在有效期内，具备废气（颗粒物、二氧化硫、氮氧化物、氟化物）、土壤及地下水（镉、铅、铬（六价）、铜、锌、镍、汞、砷、锰、钴、硒、钒、锑、铊、铍、钼、苊烯、苊、芴、菲、蒽、荧蒽、芘、苯并</w:t>
      </w:r>
      <w:r>
        <w:rPr>
          <w:rFonts w:ascii="仿宋" w:hAnsi="仿宋" w:eastAsia="仿宋" w:cs="仿宋"/>
          <w:sz w:val="24"/>
        </w:rPr>
        <w:t>[a]</w:t>
      </w:r>
      <w:r>
        <w:rPr>
          <w:rFonts w:hint="eastAsia" w:ascii="仿宋" w:hAnsi="仿宋" w:eastAsia="仿宋" w:cs="仿宋"/>
          <w:sz w:val="24"/>
        </w:rPr>
        <w:t>蒽、屈、苯并</w:t>
      </w:r>
      <w:r>
        <w:rPr>
          <w:rFonts w:ascii="仿宋" w:hAnsi="仿宋" w:eastAsia="仿宋" w:cs="仿宋"/>
          <w:sz w:val="24"/>
        </w:rPr>
        <w:t>[b]</w:t>
      </w:r>
      <w:r>
        <w:rPr>
          <w:rFonts w:hint="eastAsia" w:ascii="仿宋" w:hAnsi="仿宋" w:eastAsia="仿宋" w:cs="仿宋"/>
          <w:sz w:val="24"/>
        </w:rPr>
        <w:t>荧蒽、苯并</w:t>
      </w:r>
      <w:r>
        <w:rPr>
          <w:rFonts w:ascii="仿宋" w:hAnsi="仿宋" w:eastAsia="仿宋" w:cs="仿宋"/>
          <w:sz w:val="24"/>
        </w:rPr>
        <w:t>[k]</w:t>
      </w:r>
      <w:r>
        <w:rPr>
          <w:rFonts w:hint="eastAsia" w:ascii="仿宋" w:hAnsi="仿宋" w:eastAsia="仿宋" w:cs="仿宋"/>
          <w:sz w:val="24"/>
        </w:rPr>
        <w:t>荧蒽、苯并</w:t>
      </w:r>
      <w:r>
        <w:rPr>
          <w:rFonts w:ascii="仿宋" w:hAnsi="仿宋" w:eastAsia="仿宋" w:cs="仿宋"/>
          <w:sz w:val="24"/>
        </w:rPr>
        <w:t>[a]</w:t>
      </w:r>
      <w:r>
        <w:rPr>
          <w:rFonts w:hint="eastAsia" w:ascii="仿宋" w:hAnsi="仿宋" w:eastAsia="仿宋" w:cs="仿宋"/>
          <w:sz w:val="24"/>
        </w:rPr>
        <w:t>芘、茚并</w:t>
      </w:r>
      <w:r>
        <w:rPr>
          <w:rFonts w:ascii="仿宋" w:hAnsi="仿宋" w:eastAsia="仿宋" w:cs="仿宋"/>
          <w:sz w:val="24"/>
        </w:rPr>
        <w:t>[1,2,3-cd]</w:t>
      </w:r>
      <w:r>
        <w:rPr>
          <w:rFonts w:hint="eastAsia" w:ascii="仿宋" w:hAnsi="仿宋" w:eastAsia="仿宋" w:cs="仿宋"/>
          <w:sz w:val="24"/>
        </w:rPr>
        <w:t>芘、二苯并</w:t>
      </w:r>
      <w:r>
        <w:rPr>
          <w:rFonts w:ascii="仿宋" w:hAnsi="仿宋" w:eastAsia="仿宋" w:cs="仿宋"/>
          <w:sz w:val="24"/>
        </w:rPr>
        <w:t>[a,h]</w:t>
      </w:r>
      <w:r>
        <w:rPr>
          <w:rFonts w:hint="eastAsia" w:ascii="仿宋" w:hAnsi="仿宋" w:eastAsia="仿宋" w:cs="仿宋"/>
          <w:sz w:val="24"/>
        </w:rPr>
        <w:t>蒽和苯并</w:t>
      </w:r>
      <w:r>
        <w:rPr>
          <w:rFonts w:ascii="仿宋" w:hAnsi="仿宋" w:eastAsia="仿宋" w:cs="仿宋"/>
          <w:sz w:val="24"/>
        </w:rPr>
        <w:t>[g,h,i]</w:t>
      </w:r>
      <w:r>
        <w:rPr>
          <w:rFonts w:hint="eastAsia" w:ascii="仿宋" w:hAnsi="仿宋" w:eastAsia="仿宋" w:cs="仿宋"/>
          <w:sz w:val="24"/>
        </w:rPr>
        <w:t>苝、石油烃（</w:t>
      </w:r>
      <w:r>
        <w:rPr>
          <w:rFonts w:ascii="仿宋" w:hAnsi="仿宋" w:eastAsia="仿宋" w:cs="仿宋"/>
          <w:sz w:val="24"/>
        </w:rPr>
        <w:t>C10-C40</w:t>
      </w:r>
      <w:r>
        <w:rPr>
          <w:rFonts w:hint="eastAsia" w:ascii="仿宋" w:hAnsi="仿宋" w:eastAsia="仿宋" w:cs="仿宋"/>
          <w:sz w:val="24"/>
        </w:rPr>
        <w:t>）、二噁英类（总毒性当量）、</w:t>
      </w:r>
      <w:r>
        <w:rPr>
          <w:rFonts w:ascii="仿宋" w:hAnsi="仿宋" w:eastAsia="仿宋" w:cs="仿宋"/>
          <w:sz w:val="24"/>
        </w:rPr>
        <w:t>pH</w:t>
      </w:r>
      <w:r>
        <w:rPr>
          <w:rFonts w:hint="eastAsia" w:ascii="仿宋" w:hAnsi="仿宋" w:eastAsia="仿宋" w:cs="仿宋"/>
          <w:sz w:val="24"/>
        </w:rPr>
        <w:t>值）相关测定项目的检测资质。（二噁英类（总毒性当量）等不具备自行检测能力的，需提供与合作相关方的委托协议）</w:t>
      </w:r>
      <w:r>
        <w:rPr>
          <w:rFonts w:hint="eastAsia" w:ascii="仿宋" w:hAnsi="仿宋" w:eastAsia="仿宋"/>
          <w:sz w:val="24"/>
        </w:rPr>
        <w:t>。</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cs="仿宋"/>
          <w:sz w:val="24"/>
        </w:rPr>
        <w:t>提供近三年内类似项目业绩(非衡钢业绩须提供合同复印件)</w:t>
      </w:r>
      <w:r>
        <w:rPr>
          <w:rFonts w:hint="eastAsia" w:ascii="仿宋" w:hAnsi="仿宋" w:eastAsia="仿宋"/>
          <w:sz w:val="24"/>
        </w:rPr>
        <w:t>。</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本招标项目不接受列入湖南华菱钢铁集团有限责任公司及其分（子）公司供应商黑名 单，或衡阳华菱钢管（连轧管）有限公司供应商资格暂停、取消、淘汰期间的单位或个人投标。</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color w:val="000000"/>
          <w:sz w:val="24"/>
        </w:rPr>
        <w:t>法律、行政法规规定的其他资格条件。</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本项目不接受联合体投标。</w:t>
      </w:r>
    </w:p>
    <w:p>
      <w:pPr>
        <w:pStyle w:val="101"/>
        <w:numPr>
          <w:ilvl w:val="0"/>
          <w:numId w:val="2"/>
        </w:numPr>
        <w:adjustRightInd w:val="0"/>
        <w:snapToGrid w:val="0"/>
        <w:spacing w:line="360" w:lineRule="exact"/>
        <w:ind w:left="2582" w:hanging="2582" w:firstLineChars="0"/>
        <w:contextualSpacing/>
        <w:rPr>
          <w:rFonts w:ascii="仿宋" w:hAnsi="仿宋" w:eastAsia="仿宋"/>
          <w:b/>
          <w:sz w:val="24"/>
        </w:rPr>
      </w:pPr>
      <w:r>
        <w:rPr>
          <w:rFonts w:hint="eastAsia" w:ascii="仿宋" w:hAnsi="仿宋" w:eastAsia="仿宋"/>
          <w:b/>
          <w:sz w:val="24"/>
        </w:rPr>
        <w:t xml:space="preserve"> 招标文件获取</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请各投标人自行在衡阳华菱钢管有限公司网站（</w:t>
      </w:r>
      <w:r>
        <w:rPr>
          <w:rFonts w:ascii="仿宋" w:hAnsi="仿宋" w:eastAsia="仿宋"/>
          <w:sz w:val="24"/>
        </w:rPr>
        <w:t>http://www.hysteeltube.com/zbgg</w:t>
      </w:r>
      <w:r>
        <w:rPr>
          <w:rFonts w:hint="eastAsia" w:ascii="仿宋" w:hAnsi="仿宋" w:eastAsia="仿宋"/>
          <w:sz w:val="24"/>
        </w:rPr>
        <w:t>）下载招标文件、技术附件等。</w:t>
      </w:r>
    </w:p>
    <w:p>
      <w:pPr>
        <w:pStyle w:val="101"/>
        <w:numPr>
          <w:ilvl w:val="1"/>
          <w:numId w:val="2"/>
        </w:numPr>
        <w:adjustRightInd w:val="0"/>
        <w:snapToGrid w:val="0"/>
        <w:spacing w:line="360" w:lineRule="exact"/>
        <w:ind w:firstLineChars="0"/>
        <w:contextualSpacing/>
        <w:jc w:val="left"/>
        <w:rPr>
          <w:rFonts w:ascii="仿宋" w:hAnsi="仿宋" w:eastAsia="仿宋"/>
          <w:sz w:val="24"/>
        </w:rPr>
      </w:pPr>
      <w:r>
        <w:rPr>
          <w:rFonts w:hint="eastAsia" w:ascii="仿宋" w:hAnsi="仿宋" w:eastAsia="仿宋"/>
          <w:sz w:val="24"/>
        </w:rPr>
        <w:t>请投标单位自行下载或查阅招标文件及相关资料等，恕不另行通知，如有遗漏，招标人概不负责。</w:t>
      </w:r>
    </w:p>
    <w:p>
      <w:pPr>
        <w:pStyle w:val="101"/>
        <w:numPr>
          <w:ilvl w:val="1"/>
          <w:numId w:val="2"/>
        </w:numPr>
        <w:adjustRightInd w:val="0"/>
        <w:snapToGrid w:val="0"/>
        <w:spacing w:line="360" w:lineRule="exact"/>
        <w:ind w:left="2580" w:hanging="2580" w:firstLineChars="0"/>
        <w:contextualSpacing/>
        <w:rPr>
          <w:rFonts w:ascii="仿宋" w:hAnsi="仿宋" w:eastAsia="仿宋"/>
          <w:sz w:val="24"/>
        </w:rPr>
      </w:pPr>
      <w:r>
        <w:rPr>
          <w:rFonts w:ascii="仿宋" w:hAnsi="仿宋" w:eastAsia="仿宋"/>
          <w:sz w:val="24"/>
        </w:rPr>
        <w:t>招标文件售价</w:t>
      </w:r>
      <w:r>
        <w:rPr>
          <w:rFonts w:hint="eastAsia" w:ascii="仿宋" w:hAnsi="仿宋" w:eastAsia="仿宋"/>
          <w:sz w:val="24"/>
        </w:rPr>
        <w:t>100元人民币，扫码支付。</w:t>
      </w:r>
    </w:p>
    <w:p>
      <w:pPr>
        <w:pStyle w:val="101"/>
        <w:numPr>
          <w:ilvl w:val="0"/>
          <w:numId w:val="2"/>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投标保证金</w:t>
      </w:r>
    </w:p>
    <w:p>
      <w:pPr>
        <w:pStyle w:val="101"/>
        <w:numPr>
          <w:ilvl w:val="1"/>
          <w:numId w:val="2"/>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投标保证金金额：</w:t>
      </w:r>
      <w:r>
        <w:rPr>
          <w:rFonts w:hint="eastAsia" w:ascii="仿宋" w:hAnsi="仿宋" w:eastAsia="仿宋"/>
          <w:b/>
          <w:sz w:val="24"/>
          <w:u w:val="single"/>
          <w:lang w:val="en-US" w:eastAsia="zh-CN"/>
        </w:rPr>
        <w:t>2</w:t>
      </w:r>
      <w:r>
        <w:rPr>
          <w:rFonts w:hint="eastAsia" w:ascii="仿宋" w:hAnsi="仿宋" w:eastAsia="仿宋"/>
          <w:b/>
          <w:sz w:val="24"/>
          <w:u w:val="single"/>
        </w:rPr>
        <w:t>000</w:t>
      </w:r>
      <w:r>
        <w:rPr>
          <w:rFonts w:ascii="仿宋" w:hAnsi="仿宋" w:eastAsia="仿宋"/>
          <w:sz w:val="24"/>
        </w:rPr>
        <w:t>元人民币</w:t>
      </w:r>
      <w:r>
        <w:rPr>
          <w:rFonts w:hint="eastAsia" w:ascii="仿宋" w:hAnsi="仿宋" w:eastAsia="仿宋"/>
          <w:sz w:val="24"/>
        </w:rPr>
        <w:t>。</w:t>
      </w:r>
    </w:p>
    <w:p>
      <w:pPr>
        <w:pStyle w:val="101"/>
        <w:numPr>
          <w:ilvl w:val="1"/>
          <w:numId w:val="2"/>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投标保证金缴纳截止时间为投标截止时间前。</w:t>
      </w:r>
    </w:p>
    <w:p>
      <w:pPr>
        <w:pStyle w:val="101"/>
        <w:numPr>
          <w:ilvl w:val="1"/>
          <w:numId w:val="2"/>
        </w:numPr>
        <w:adjustRightInd w:val="0"/>
        <w:snapToGrid w:val="0"/>
        <w:spacing w:line="360" w:lineRule="exact"/>
        <w:ind w:left="2580" w:hanging="2580" w:firstLineChars="0"/>
        <w:contextualSpacing/>
        <w:rPr>
          <w:rFonts w:ascii="仿宋" w:hAnsi="仿宋" w:eastAsia="仿宋"/>
          <w:sz w:val="24"/>
        </w:rPr>
      </w:pPr>
      <w:r>
        <w:rPr>
          <w:rFonts w:hint="eastAsia" w:ascii="仿宋" w:hAnsi="仿宋" w:eastAsia="仿宋"/>
          <w:sz w:val="24"/>
        </w:rPr>
        <w:t>投标保证金缴纳方式：电汇、转账或投标单位在衡钢的货款（工程款）。</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开户行：</w:t>
      </w:r>
      <w:r>
        <w:rPr>
          <w:rFonts w:hint="eastAsia" w:ascii="仿宋" w:hAnsi="仿宋" w:eastAsia="仿宋"/>
          <w:sz w:val="24"/>
        </w:rPr>
        <w:t xml:space="preserve">工行衡阳银雁支行    </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开户名：</w:t>
      </w:r>
      <w:r>
        <w:rPr>
          <w:rFonts w:hint="eastAsia" w:ascii="仿宋" w:hAnsi="仿宋" w:eastAsia="仿宋"/>
          <w:sz w:val="24"/>
        </w:rPr>
        <w:t>衡阳华菱连轧管有限公司</w:t>
      </w:r>
    </w:p>
    <w:p>
      <w:pPr>
        <w:adjustRightInd w:val="0"/>
        <w:snapToGrid w:val="0"/>
        <w:spacing w:line="360" w:lineRule="exact"/>
        <w:ind w:left="850" w:leftChars="405"/>
        <w:contextualSpacing/>
        <w:rPr>
          <w:rFonts w:ascii="仿宋" w:hAnsi="仿宋" w:eastAsia="仿宋"/>
          <w:sz w:val="24"/>
        </w:rPr>
      </w:pPr>
      <w:r>
        <w:rPr>
          <w:rFonts w:ascii="仿宋" w:hAnsi="仿宋" w:eastAsia="仿宋"/>
          <w:sz w:val="24"/>
        </w:rPr>
        <w:t>帐  号：</w:t>
      </w:r>
      <w:r>
        <w:rPr>
          <w:rFonts w:hint="eastAsia" w:ascii="仿宋" w:hAnsi="仿宋" w:eastAsia="仿宋"/>
          <w:sz w:val="24"/>
        </w:rPr>
        <w:t>1905022319020105051</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投标人未按要求缴纳投标保证金，由评委会初审后作无效投标文件处理，其可能造成的损失由投标人自行承担。</w:t>
      </w:r>
    </w:p>
    <w:p>
      <w:pPr>
        <w:pStyle w:val="101"/>
        <w:numPr>
          <w:ilvl w:val="0"/>
          <w:numId w:val="2"/>
        </w:numPr>
        <w:adjustRightInd w:val="0"/>
        <w:snapToGrid w:val="0"/>
        <w:spacing w:line="360" w:lineRule="exact"/>
        <w:ind w:left="2582" w:hanging="2580" w:firstLineChars="0"/>
        <w:contextualSpacing/>
        <w:rPr>
          <w:rFonts w:ascii="仿宋" w:hAnsi="仿宋" w:eastAsia="仿宋"/>
          <w:b/>
          <w:sz w:val="24"/>
        </w:rPr>
      </w:pPr>
      <w:r>
        <w:rPr>
          <w:rFonts w:hint="eastAsia" w:ascii="仿宋" w:hAnsi="仿宋" w:eastAsia="仿宋"/>
          <w:b/>
          <w:sz w:val="24"/>
        </w:rPr>
        <w:t>投标和开标</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投标文件递交截止时间及开标时间：</w:t>
      </w:r>
      <w:r>
        <w:rPr>
          <w:rFonts w:hint="eastAsia" w:ascii="仿宋" w:hAnsi="仿宋" w:eastAsia="仿宋" w:cs="宋体"/>
          <w:b/>
          <w:sz w:val="24"/>
          <w:u w:val="single"/>
        </w:rPr>
        <w:t xml:space="preserve">2022年 4 月 </w:t>
      </w:r>
      <w:r>
        <w:rPr>
          <w:rFonts w:hint="eastAsia" w:ascii="仿宋" w:hAnsi="仿宋" w:eastAsia="仿宋" w:cs="宋体"/>
          <w:b/>
          <w:sz w:val="24"/>
          <w:u w:val="single"/>
          <w:lang w:val="en-US" w:eastAsia="zh-CN"/>
        </w:rPr>
        <w:t>26</w:t>
      </w:r>
      <w:r>
        <w:rPr>
          <w:rFonts w:hint="eastAsia" w:ascii="仿宋" w:hAnsi="仿宋" w:eastAsia="仿宋" w:cs="宋体"/>
          <w:b/>
          <w:sz w:val="24"/>
          <w:u w:val="single"/>
        </w:rPr>
        <w:t xml:space="preserve"> 日下午14:30(北京时间)</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投标文件递交及开标地点：衡阳华菱钢管有限公司西办公楼</w:t>
      </w:r>
      <w:bookmarkStart w:id="6" w:name="_GoBack"/>
      <w:bookmarkEnd w:id="6"/>
      <w:r>
        <w:rPr>
          <w:rFonts w:hint="eastAsia" w:ascii="仿宋" w:hAnsi="仿宋" w:eastAsia="仿宋"/>
          <w:sz w:val="24"/>
        </w:rPr>
        <w:t xml:space="preserve">三楼开标二室（采购部三楼）                  </w:t>
      </w:r>
    </w:p>
    <w:p>
      <w:pPr>
        <w:pStyle w:val="101"/>
        <w:numPr>
          <w:ilvl w:val="1"/>
          <w:numId w:val="2"/>
        </w:numPr>
        <w:adjustRightInd w:val="0"/>
        <w:snapToGrid w:val="0"/>
        <w:spacing w:line="360" w:lineRule="exact"/>
        <w:ind w:firstLineChars="0"/>
        <w:contextualSpacing/>
        <w:rPr>
          <w:rFonts w:ascii="仿宋" w:hAnsi="仿宋" w:eastAsia="仿宋"/>
          <w:sz w:val="24"/>
        </w:rPr>
      </w:pPr>
      <w:r>
        <w:rPr>
          <w:rFonts w:hint="eastAsia" w:ascii="仿宋" w:hAnsi="仿宋" w:eastAsia="仿宋"/>
          <w:sz w:val="24"/>
        </w:rPr>
        <w:t>逾期送达的或者未送达指定地点或未按要求密封和加写标记的投标文件，招标人不予受理。</w:t>
      </w:r>
    </w:p>
    <w:p>
      <w:pPr>
        <w:pStyle w:val="101"/>
        <w:numPr>
          <w:ilvl w:val="0"/>
          <w:numId w:val="2"/>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评标办法</w:t>
      </w:r>
    </w:p>
    <w:p>
      <w:pPr>
        <w:pStyle w:val="101"/>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本项目采用经评审的最低价中标法。</w:t>
      </w:r>
    </w:p>
    <w:p>
      <w:pPr>
        <w:pStyle w:val="101"/>
        <w:numPr>
          <w:ilvl w:val="0"/>
          <w:numId w:val="2"/>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公告媒介</w:t>
      </w:r>
    </w:p>
    <w:p>
      <w:pPr>
        <w:pStyle w:val="101"/>
        <w:adjustRightInd w:val="0"/>
        <w:snapToGrid w:val="0"/>
        <w:spacing w:line="360" w:lineRule="exact"/>
        <w:ind w:left="851" w:firstLine="0" w:firstLineChars="0"/>
        <w:contextualSpacing/>
        <w:rPr>
          <w:rFonts w:ascii="仿宋" w:hAnsi="仿宋" w:eastAsia="仿宋"/>
          <w:sz w:val="24"/>
        </w:rPr>
      </w:pPr>
      <w:r>
        <w:rPr>
          <w:rFonts w:hint="eastAsia" w:ascii="仿宋" w:hAnsi="仿宋" w:eastAsia="仿宋"/>
          <w:sz w:val="24"/>
        </w:rPr>
        <w:t>本次招标公告在衡阳华菱钢管有限公司网站（</w:t>
      </w:r>
      <w:r>
        <w:rPr>
          <w:rFonts w:ascii="仿宋" w:hAnsi="仿宋" w:eastAsia="仿宋"/>
          <w:sz w:val="24"/>
        </w:rPr>
        <w:t>http://www.hysteeltube.com/zbgg</w:t>
      </w:r>
      <w:r>
        <w:rPr>
          <w:rFonts w:hint="eastAsia" w:ascii="仿宋" w:hAnsi="仿宋" w:eastAsia="仿宋"/>
          <w:sz w:val="24"/>
        </w:rPr>
        <w:t>）上发布。</w:t>
      </w:r>
    </w:p>
    <w:p>
      <w:pPr>
        <w:pStyle w:val="101"/>
        <w:numPr>
          <w:ilvl w:val="0"/>
          <w:numId w:val="2"/>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监督</w:t>
      </w:r>
    </w:p>
    <w:p>
      <w:pPr>
        <w:pStyle w:val="101"/>
        <w:numPr>
          <w:ilvl w:val="0"/>
          <w:numId w:val="2"/>
        </w:numPr>
        <w:snapToGrid w:val="0"/>
        <w:spacing w:line="400" w:lineRule="exact"/>
        <w:ind w:firstLineChars="0"/>
        <w:rPr>
          <w:rFonts w:ascii="仿宋" w:hAnsi="仿宋" w:eastAsia="仿宋" w:cs="宋体"/>
          <w:kern w:val="0"/>
          <w:sz w:val="24"/>
        </w:rPr>
      </w:pPr>
      <w:r>
        <w:rPr>
          <w:rFonts w:hint="eastAsia" w:ascii="仿宋" w:hAnsi="仿宋" w:eastAsia="仿宋"/>
          <w:sz w:val="24"/>
        </w:rPr>
        <w:t>本次招投标监督部门为衡阳华菱钢管有限公司</w:t>
      </w:r>
      <w:bookmarkStart w:id="4" w:name="_Toc303864862"/>
      <w:bookmarkStart w:id="5" w:name="_Toc300677994"/>
      <w:r>
        <w:rPr>
          <w:rFonts w:hint="eastAsia" w:ascii="仿宋" w:hAnsi="仿宋" w:eastAsia="仿宋"/>
          <w:sz w:val="24"/>
        </w:rPr>
        <w:t>纪委，电话：</w:t>
      </w:r>
      <w:bookmarkEnd w:id="4"/>
      <w:bookmarkEnd w:id="5"/>
      <w:r>
        <w:rPr>
          <w:rFonts w:hint="eastAsia" w:ascii="仿宋" w:hAnsi="仿宋" w:eastAsia="仿宋" w:cs="宋体"/>
          <w:kern w:val="0"/>
          <w:sz w:val="24"/>
        </w:rPr>
        <w:t>0734-8872189</w:t>
      </w:r>
    </w:p>
    <w:p>
      <w:pPr>
        <w:pStyle w:val="101"/>
        <w:numPr>
          <w:ilvl w:val="0"/>
          <w:numId w:val="2"/>
        </w:numPr>
        <w:adjustRightInd w:val="0"/>
        <w:snapToGrid w:val="0"/>
        <w:spacing w:line="360" w:lineRule="exact"/>
        <w:ind w:firstLineChars="0"/>
        <w:contextualSpacing/>
        <w:rPr>
          <w:rFonts w:ascii="仿宋" w:hAnsi="仿宋" w:eastAsia="仿宋"/>
          <w:b/>
          <w:sz w:val="24"/>
        </w:rPr>
      </w:pPr>
      <w:r>
        <w:rPr>
          <w:rFonts w:hint="eastAsia" w:ascii="仿宋" w:hAnsi="仿宋" w:eastAsia="仿宋"/>
          <w:b/>
          <w:sz w:val="24"/>
        </w:rPr>
        <w:t>其它</w:t>
      </w:r>
    </w:p>
    <w:p>
      <w:pPr>
        <w:pStyle w:val="101"/>
        <w:adjustRightInd w:val="0"/>
        <w:snapToGrid w:val="0"/>
        <w:spacing w:line="360" w:lineRule="exact"/>
        <w:ind w:left="851" w:firstLine="0" w:firstLineChars="0"/>
        <w:rPr>
          <w:rFonts w:ascii="仿宋" w:hAnsi="仿宋" w:eastAsia="仿宋"/>
          <w:sz w:val="24"/>
        </w:rPr>
      </w:pPr>
      <w:r>
        <w:rPr>
          <w:rFonts w:hint="eastAsia" w:ascii="仿宋" w:hAnsi="仿宋" w:eastAsia="仿宋"/>
          <w:sz w:val="24"/>
        </w:rPr>
        <w:t>投标人须保证其提供的资格审查申请资料及投标资料的真实性，招标人有权在招标的任何阶段进行调查和核实，一旦发现虚假，将严肃查处。</w:t>
      </w:r>
    </w:p>
    <w:p>
      <w:pPr>
        <w:pStyle w:val="101"/>
        <w:numPr>
          <w:ilvl w:val="0"/>
          <w:numId w:val="2"/>
        </w:numPr>
        <w:adjustRightInd w:val="0"/>
        <w:snapToGrid w:val="0"/>
        <w:spacing w:line="360" w:lineRule="exact"/>
        <w:ind w:firstLineChars="0"/>
        <w:contextualSpacing/>
        <w:rPr>
          <w:rFonts w:ascii="仿宋" w:hAnsi="仿宋" w:eastAsia="仿宋"/>
          <w:b/>
          <w:sz w:val="24"/>
        </w:rPr>
      </w:pPr>
      <w:r>
        <w:rPr>
          <w:rFonts w:ascii="仿宋" w:hAnsi="仿宋" w:eastAsia="仿宋"/>
          <w:b/>
          <w:sz w:val="24"/>
        </w:rPr>
        <w:t>联系方式：</w:t>
      </w:r>
    </w:p>
    <w:p>
      <w:pPr>
        <w:pStyle w:val="101"/>
        <w:spacing w:line="360" w:lineRule="exact"/>
        <w:ind w:left="851" w:firstLine="0" w:firstLineChars="0"/>
        <w:rPr>
          <w:rFonts w:ascii="仿宋" w:hAnsi="仿宋" w:eastAsia="仿宋" w:cs="宋体"/>
          <w:sz w:val="24"/>
        </w:rPr>
      </w:pPr>
      <w:r>
        <w:rPr>
          <w:rFonts w:hint="eastAsia" w:ascii="仿宋" w:hAnsi="仿宋" w:eastAsia="仿宋" w:cs="宋体"/>
          <w:sz w:val="24"/>
        </w:rPr>
        <w:t>项目联系人：</w:t>
      </w:r>
      <w:r>
        <w:rPr>
          <w:rFonts w:hint="eastAsia" w:ascii="仿宋" w:hAnsi="仿宋" w:eastAsia="仿宋"/>
          <w:sz w:val="24"/>
        </w:rPr>
        <w:t>王韬</w:t>
      </w:r>
    </w:p>
    <w:p>
      <w:pPr>
        <w:pStyle w:val="101"/>
        <w:spacing w:line="360" w:lineRule="exact"/>
        <w:ind w:left="851" w:firstLine="0" w:firstLineChars="0"/>
        <w:jc w:val="left"/>
        <w:rPr>
          <w:rFonts w:ascii="仿宋" w:hAnsi="仿宋" w:eastAsia="仿宋"/>
          <w:color w:val="000000"/>
          <w:sz w:val="24"/>
        </w:rPr>
      </w:pPr>
      <w:r>
        <w:rPr>
          <w:rFonts w:hint="eastAsia" w:ascii="仿宋" w:hAnsi="仿宋" w:eastAsia="仿宋"/>
          <w:color w:val="000000"/>
          <w:sz w:val="24"/>
        </w:rPr>
        <w:t>电话：（0734）8872692           　　　　手机：13975454405</w:t>
      </w:r>
    </w:p>
    <w:p>
      <w:pPr>
        <w:pStyle w:val="101"/>
        <w:spacing w:line="360" w:lineRule="exact"/>
        <w:ind w:left="851" w:firstLine="0" w:firstLineChars="0"/>
        <w:jc w:val="left"/>
        <w:rPr>
          <w:rFonts w:ascii="仿宋" w:hAnsi="仿宋" w:eastAsia="仿宋" w:cs="宋体"/>
          <w:bCs/>
          <w:sz w:val="24"/>
        </w:rPr>
      </w:pPr>
      <w:r>
        <w:rPr>
          <w:rFonts w:hint="eastAsia" w:ascii="仿宋" w:hAnsi="仿宋" w:eastAsia="仿宋" w:cs="宋体"/>
          <w:sz w:val="24"/>
        </w:rPr>
        <w:t>详细地址：</w:t>
      </w:r>
      <w:r>
        <w:rPr>
          <w:rFonts w:hint="eastAsia" w:ascii="仿宋" w:hAnsi="仿宋" w:eastAsia="仿宋"/>
          <w:color w:val="000000"/>
          <w:sz w:val="24"/>
        </w:rPr>
        <w:t>衡阳华菱钢管有限公司安全环保部</w:t>
      </w:r>
    </w:p>
    <w:p>
      <w:pPr>
        <w:snapToGrid w:val="0"/>
        <w:spacing w:line="400" w:lineRule="exact"/>
        <w:ind w:left="850" w:leftChars="405"/>
        <w:rPr>
          <w:rFonts w:ascii="仿宋" w:hAnsi="仿宋" w:eastAsia="仿宋"/>
          <w:sz w:val="24"/>
        </w:rPr>
      </w:pPr>
      <w:r>
        <w:rPr>
          <w:rFonts w:ascii="仿宋" w:hAnsi="仿宋" w:eastAsia="仿宋"/>
          <w:sz w:val="24"/>
        </w:rPr>
        <w:t>招标联系人：</w:t>
      </w:r>
      <w:r>
        <w:rPr>
          <w:rFonts w:hint="eastAsia" w:ascii="仿宋" w:hAnsi="仿宋" w:eastAsia="仿宋"/>
          <w:color w:val="000000"/>
          <w:sz w:val="24"/>
        </w:rPr>
        <w:t>洪义斌</w:t>
      </w:r>
    </w:p>
    <w:p>
      <w:pPr>
        <w:snapToGrid w:val="0"/>
        <w:spacing w:line="400" w:lineRule="exact"/>
        <w:ind w:left="850" w:leftChars="405"/>
        <w:rPr>
          <w:rFonts w:ascii="仿宋" w:hAnsi="仿宋" w:eastAsia="仿宋"/>
          <w:sz w:val="24"/>
        </w:rPr>
      </w:pPr>
      <w:r>
        <w:rPr>
          <w:rFonts w:ascii="仿宋" w:hAnsi="仿宋" w:eastAsia="仿宋"/>
          <w:sz w:val="24"/>
        </w:rPr>
        <w:t>电话：（0734）887</w:t>
      </w:r>
      <w:r>
        <w:rPr>
          <w:rFonts w:hint="eastAsia" w:ascii="仿宋" w:hAnsi="仿宋" w:eastAsia="仿宋"/>
          <w:sz w:val="24"/>
        </w:rPr>
        <w:t>2579</w:t>
      </w:r>
      <w:r>
        <w:rPr>
          <w:rFonts w:ascii="仿宋" w:hAnsi="仿宋" w:eastAsia="仿宋"/>
          <w:sz w:val="24"/>
        </w:rPr>
        <w:t>（办）           手机：</w:t>
      </w:r>
      <w:r>
        <w:rPr>
          <w:rFonts w:hint="eastAsia" w:ascii="仿宋" w:hAnsi="仿宋" w:eastAsia="仿宋"/>
          <w:sz w:val="24"/>
        </w:rPr>
        <w:t>15616678886</w:t>
      </w:r>
    </w:p>
    <w:p>
      <w:pPr>
        <w:snapToGrid w:val="0"/>
        <w:spacing w:line="400" w:lineRule="exact"/>
        <w:ind w:left="850" w:leftChars="405"/>
        <w:rPr>
          <w:rFonts w:ascii="仿宋" w:hAnsi="仿宋" w:eastAsia="仿宋"/>
          <w:sz w:val="24"/>
        </w:rPr>
      </w:pPr>
      <w:r>
        <w:rPr>
          <w:rFonts w:ascii="仿宋" w:hAnsi="仿宋" w:eastAsia="仿宋"/>
          <w:sz w:val="24"/>
        </w:rPr>
        <w:t>详细地址：</w:t>
      </w:r>
      <w:r>
        <w:rPr>
          <w:rFonts w:hint="eastAsia" w:ascii="仿宋" w:hAnsi="仿宋" w:eastAsia="仿宋"/>
          <w:sz w:val="24"/>
        </w:rPr>
        <w:t>衡阳华菱钢管有限公司企业管理和人力资源</w:t>
      </w:r>
      <w:r>
        <w:rPr>
          <w:rFonts w:ascii="仿宋" w:hAnsi="仿宋" w:eastAsia="仿宋"/>
          <w:sz w:val="24"/>
        </w:rPr>
        <w:t>部</w:t>
      </w:r>
      <w:r>
        <w:rPr>
          <w:rFonts w:hint="eastAsia" w:ascii="仿宋" w:hAnsi="仿宋" w:eastAsia="仿宋"/>
          <w:sz w:val="24"/>
        </w:rPr>
        <w:t>/湖南衡阳钢管（集团）有限公司招标办</w:t>
      </w:r>
    </w:p>
    <w:p>
      <w:pPr>
        <w:snapToGrid w:val="0"/>
        <w:spacing w:line="400" w:lineRule="exact"/>
        <w:rPr>
          <w:rFonts w:ascii="仿宋" w:hAnsi="仿宋" w:eastAsia="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chineseCountingThousand"/>
      <w:pStyle w:val="35"/>
      <w:lvlText w:val="第%1部分"/>
      <w:lvlJc w:val="left"/>
      <w:pPr>
        <w:tabs>
          <w:tab w:val="left" w:pos="2007"/>
        </w:tabs>
        <w:ind w:left="227"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38DD"/>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0DF8"/>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4199"/>
    <w:rsid w:val="000F7086"/>
    <w:rsid w:val="00100772"/>
    <w:rsid w:val="00101779"/>
    <w:rsid w:val="00101C03"/>
    <w:rsid w:val="00101FAC"/>
    <w:rsid w:val="001020DE"/>
    <w:rsid w:val="001039F6"/>
    <w:rsid w:val="00105F6E"/>
    <w:rsid w:val="00106CBD"/>
    <w:rsid w:val="001078CF"/>
    <w:rsid w:val="00107A6D"/>
    <w:rsid w:val="00110135"/>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0B4"/>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395D"/>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5A60"/>
    <w:rsid w:val="00236E17"/>
    <w:rsid w:val="00237C25"/>
    <w:rsid w:val="00240825"/>
    <w:rsid w:val="00242FB2"/>
    <w:rsid w:val="002436B6"/>
    <w:rsid w:val="00243B59"/>
    <w:rsid w:val="00246678"/>
    <w:rsid w:val="00250CFE"/>
    <w:rsid w:val="00251CAC"/>
    <w:rsid w:val="002526F3"/>
    <w:rsid w:val="00256713"/>
    <w:rsid w:val="00257C8C"/>
    <w:rsid w:val="00261966"/>
    <w:rsid w:val="002619BF"/>
    <w:rsid w:val="00262713"/>
    <w:rsid w:val="00262E55"/>
    <w:rsid w:val="00263BB4"/>
    <w:rsid w:val="0026404D"/>
    <w:rsid w:val="00264C17"/>
    <w:rsid w:val="00265BC8"/>
    <w:rsid w:val="00265D48"/>
    <w:rsid w:val="002668E6"/>
    <w:rsid w:val="00270012"/>
    <w:rsid w:val="002700EA"/>
    <w:rsid w:val="002702BC"/>
    <w:rsid w:val="002702C0"/>
    <w:rsid w:val="002732DF"/>
    <w:rsid w:val="0027715B"/>
    <w:rsid w:val="00277FFE"/>
    <w:rsid w:val="002810D0"/>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700"/>
    <w:rsid w:val="002B4868"/>
    <w:rsid w:val="002B4CA7"/>
    <w:rsid w:val="002B6BE1"/>
    <w:rsid w:val="002B6E30"/>
    <w:rsid w:val="002B6E68"/>
    <w:rsid w:val="002B7736"/>
    <w:rsid w:val="002C0609"/>
    <w:rsid w:val="002C2133"/>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62E4"/>
    <w:rsid w:val="002F70EC"/>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D7D7A"/>
    <w:rsid w:val="003E1B17"/>
    <w:rsid w:val="003E42A4"/>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6FC"/>
    <w:rsid w:val="004C2FA0"/>
    <w:rsid w:val="004C3704"/>
    <w:rsid w:val="004C5468"/>
    <w:rsid w:val="004C6AB9"/>
    <w:rsid w:val="004D0561"/>
    <w:rsid w:val="004D3C5C"/>
    <w:rsid w:val="004D4E3E"/>
    <w:rsid w:val="004D520B"/>
    <w:rsid w:val="004D5445"/>
    <w:rsid w:val="004D5777"/>
    <w:rsid w:val="004D6DFC"/>
    <w:rsid w:val="004E0341"/>
    <w:rsid w:val="004E0391"/>
    <w:rsid w:val="004E09AE"/>
    <w:rsid w:val="004E2DCE"/>
    <w:rsid w:val="004E3060"/>
    <w:rsid w:val="004E35F7"/>
    <w:rsid w:val="004E38B2"/>
    <w:rsid w:val="004E592A"/>
    <w:rsid w:val="004F5E69"/>
    <w:rsid w:val="00504CDB"/>
    <w:rsid w:val="00506181"/>
    <w:rsid w:val="005073D2"/>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53"/>
    <w:rsid w:val="0056278B"/>
    <w:rsid w:val="00562BF1"/>
    <w:rsid w:val="00563E02"/>
    <w:rsid w:val="00563FAF"/>
    <w:rsid w:val="00564025"/>
    <w:rsid w:val="00564500"/>
    <w:rsid w:val="00565B43"/>
    <w:rsid w:val="00567152"/>
    <w:rsid w:val="0057054E"/>
    <w:rsid w:val="005706E9"/>
    <w:rsid w:val="00576797"/>
    <w:rsid w:val="00576D0D"/>
    <w:rsid w:val="00576F4F"/>
    <w:rsid w:val="005812A7"/>
    <w:rsid w:val="005837B9"/>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990"/>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218F"/>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E7A"/>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E2F"/>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AE5"/>
    <w:rsid w:val="00860EA8"/>
    <w:rsid w:val="008623B7"/>
    <w:rsid w:val="00862592"/>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30"/>
    <w:rsid w:val="008A568B"/>
    <w:rsid w:val="008A59CA"/>
    <w:rsid w:val="008A5FCF"/>
    <w:rsid w:val="008B00BC"/>
    <w:rsid w:val="008B07EB"/>
    <w:rsid w:val="008B2885"/>
    <w:rsid w:val="008B37D6"/>
    <w:rsid w:val="008B5A2B"/>
    <w:rsid w:val="008B5A84"/>
    <w:rsid w:val="008B5D89"/>
    <w:rsid w:val="008B6658"/>
    <w:rsid w:val="008B6937"/>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5C8"/>
    <w:rsid w:val="008E4841"/>
    <w:rsid w:val="008E639E"/>
    <w:rsid w:val="008E7F49"/>
    <w:rsid w:val="008F06F7"/>
    <w:rsid w:val="008F0FD4"/>
    <w:rsid w:val="008F1410"/>
    <w:rsid w:val="008F30BA"/>
    <w:rsid w:val="008F5176"/>
    <w:rsid w:val="008F637A"/>
    <w:rsid w:val="008F7160"/>
    <w:rsid w:val="008F744A"/>
    <w:rsid w:val="00900594"/>
    <w:rsid w:val="00900E92"/>
    <w:rsid w:val="009028F5"/>
    <w:rsid w:val="00902B7C"/>
    <w:rsid w:val="00902CCC"/>
    <w:rsid w:val="009045FB"/>
    <w:rsid w:val="009048E0"/>
    <w:rsid w:val="00904D46"/>
    <w:rsid w:val="00906D24"/>
    <w:rsid w:val="00906D3C"/>
    <w:rsid w:val="009104D5"/>
    <w:rsid w:val="00910B38"/>
    <w:rsid w:val="00913AC9"/>
    <w:rsid w:val="00917B70"/>
    <w:rsid w:val="00917F63"/>
    <w:rsid w:val="009205A8"/>
    <w:rsid w:val="00920700"/>
    <w:rsid w:val="00920BF7"/>
    <w:rsid w:val="009217D4"/>
    <w:rsid w:val="00921C07"/>
    <w:rsid w:val="00922194"/>
    <w:rsid w:val="00922A0D"/>
    <w:rsid w:val="0092330A"/>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428"/>
    <w:rsid w:val="009548AF"/>
    <w:rsid w:val="0095507F"/>
    <w:rsid w:val="00956101"/>
    <w:rsid w:val="00957A31"/>
    <w:rsid w:val="00957E58"/>
    <w:rsid w:val="00962F9D"/>
    <w:rsid w:val="00964A0B"/>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0771F"/>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2DC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7D0"/>
    <w:rsid w:val="00A847C0"/>
    <w:rsid w:val="00A90D7C"/>
    <w:rsid w:val="00A919AC"/>
    <w:rsid w:val="00A938B4"/>
    <w:rsid w:val="00A94CA0"/>
    <w:rsid w:val="00A96C46"/>
    <w:rsid w:val="00A96FDA"/>
    <w:rsid w:val="00A972FF"/>
    <w:rsid w:val="00A97407"/>
    <w:rsid w:val="00AA0717"/>
    <w:rsid w:val="00AA1175"/>
    <w:rsid w:val="00AA16A0"/>
    <w:rsid w:val="00AA2B72"/>
    <w:rsid w:val="00AA3654"/>
    <w:rsid w:val="00AA485F"/>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2C5"/>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972B7"/>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7CC"/>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4786"/>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3140"/>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27676"/>
    <w:rsid w:val="00D30266"/>
    <w:rsid w:val="00D303F6"/>
    <w:rsid w:val="00D31624"/>
    <w:rsid w:val="00D3370E"/>
    <w:rsid w:val="00D33F0E"/>
    <w:rsid w:val="00D374ED"/>
    <w:rsid w:val="00D40AE8"/>
    <w:rsid w:val="00D44BB3"/>
    <w:rsid w:val="00D4521A"/>
    <w:rsid w:val="00D45428"/>
    <w:rsid w:val="00D455A5"/>
    <w:rsid w:val="00D517FE"/>
    <w:rsid w:val="00D521D0"/>
    <w:rsid w:val="00D5281D"/>
    <w:rsid w:val="00D5402F"/>
    <w:rsid w:val="00D55CBD"/>
    <w:rsid w:val="00D566EA"/>
    <w:rsid w:val="00D56B5A"/>
    <w:rsid w:val="00D57B53"/>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00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71D"/>
    <w:rsid w:val="00DD04F1"/>
    <w:rsid w:val="00DD26D7"/>
    <w:rsid w:val="00DD295D"/>
    <w:rsid w:val="00DD2A18"/>
    <w:rsid w:val="00DD2F98"/>
    <w:rsid w:val="00DE0F14"/>
    <w:rsid w:val="00DE2656"/>
    <w:rsid w:val="00DE26A3"/>
    <w:rsid w:val="00DE489A"/>
    <w:rsid w:val="00DE6866"/>
    <w:rsid w:val="00DF0AFD"/>
    <w:rsid w:val="00DF12B9"/>
    <w:rsid w:val="00DF25BF"/>
    <w:rsid w:val="00DF4B27"/>
    <w:rsid w:val="00E006B4"/>
    <w:rsid w:val="00E00A0F"/>
    <w:rsid w:val="00E012A3"/>
    <w:rsid w:val="00E02AB7"/>
    <w:rsid w:val="00E02C84"/>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04"/>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5E0"/>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800"/>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0DAE54DB"/>
    <w:rsid w:val="12BF6B65"/>
    <w:rsid w:val="1441159B"/>
    <w:rsid w:val="30B5736D"/>
    <w:rsid w:val="34134919"/>
    <w:rsid w:val="36C43945"/>
    <w:rsid w:val="40AD3EE5"/>
    <w:rsid w:val="4C45795D"/>
    <w:rsid w:val="4CD76635"/>
    <w:rsid w:val="4E1C1255"/>
    <w:rsid w:val="4F8C3D25"/>
    <w:rsid w:val="60743A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numPr>
        <w:ilvl w:val="0"/>
        <w:numId w:val="1"/>
      </w:num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376</Words>
  <Characters>2148</Characters>
  <Lines>17</Lines>
  <Paragraphs>5</Paragraphs>
  <TotalTime>0</TotalTime>
  <ScaleCrop>false</ScaleCrop>
  <LinksUpToDate>false</LinksUpToDate>
  <CharactersWithSpaces>2519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2022-04-19T09:29:04Z</dcterms:modified>
  <dc:title>第二章  投标人须知</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