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olor w:val="auto"/>
          <w:sz w:val="30"/>
          <w:szCs w:val="30"/>
          <w:highlight w:val="none"/>
        </w:rPr>
      </w:pPr>
      <w:bookmarkStart w:id="0" w:name="_Toc526861349"/>
      <w:bookmarkStart w:id="1" w:name="_Toc526246862"/>
      <w:bookmarkStart w:id="2" w:name="_Toc526778066"/>
      <w:bookmarkStart w:id="3" w:name="_Toc61354154"/>
      <w:r>
        <w:rPr>
          <w:rFonts w:hint="eastAsia" w:ascii="仿宋" w:hAnsi="仿宋" w:eastAsia="仿宋"/>
          <w:color w:val="auto"/>
          <w:sz w:val="30"/>
          <w:szCs w:val="30"/>
          <w:highlight w:val="none"/>
        </w:rPr>
        <w:t>招标公告</w:t>
      </w:r>
      <w:bookmarkEnd w:id="0"/>
      <w:bookmarkEnd w:id="1"/>
      <w:bookmarkEnd w:id="2"/>
      <w:bookmarkEnd w:id="3"/>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项目概况</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HGSGW22035</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180厂屋面光伏板清洗</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Ⅱ</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项目单位：衡阳华菱连轧管有限公司</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地点：衡阳华菱连轧管有限公司</w:t>
      </w:r>
      <w:r>
        <w:rPr>
          <w:rFonts w:hint="eastAsia" w:ascii="仿宋" w:hAnsi="仿宋" w:eastAsia="仿宋" w:cs="仿宋"/>
          <w:color w:val="auto"/>
          <w:sz w:val="28"/>
          <w:szCs w:val="28"/>
          <w:lang w:val="en-US" w:eastAsia="zh-CN"/>
        </w:rPr>
        <w:t>180厂</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20天</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合同类型：</w:t>
      </w:r>
      <w:r>
        <w:rPr>
          <w:rFonts w:hint="eastAsia" w:ascii="仿宋" w:hAnsi="仿宋" w:eastAsia="仿宋" w:cs="仿宋"/>
          <w:color w:val="auto"/>
          <w:sz w:val="28"/>
          <w:szCs w:val="28"/>
          <w:lang w:eastAsia="zh-CN"/>
        </w:rPr>
        <w:t>固定总</w:t>
      </w:r>
      <w:r>
        <w:rPr>
          <w:rFonts w:hint="eastAsia" w:ascii="仿宋" w:hAnsi="仿宋" w:eastAsia="仿宋" w:cs="仿宋"/>
          <w:color w:val="auto"/>
          <w:sz w:val="28"/>
          <w:szCs w:val="28"/>
        </w:rPr>
        <w:t>价合同</w:t>
      </w:r>
    </w:p>
    <w:p>
      <w:pPr>
        <w:kinsoku/>
        <w:wordWrap/>
        <w:overflowPunct/>
        <w:topLinePunct w:val="0"/>
        <w:autoSpaceDE/>
        <w:autoSpaceDN/>
        <w:bidi w:val="0"/>
        <w:spacing w:line="440" w:lineRule="exact"/>
        <w:ind w:left="840" w:hanging="840" w:hangingChars="300"/>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 xml:space="preserve">      项目内容：180厂光伏发电装机容量为5MW，共计38585片光伏组件，</w:t>
      </w:r>
      <w:r>
        <w:rPr>
          <w:rFonts w:hint="eastAsia" w:ascii="仿宋" w:hAnsi="仿宋" w:eastAsia="仿宋" w:cs="仿宋"/>
          <w:color w:val="auto"/>
          <w:sz w:val="28"/>
          <w:szCs w:val="28"/>
          <w:lang w:eastAsia="zh-CN"/>
        </w:rPr>
        <w:t>每片光伏板组件尺寸为</w:t>
      </w:r>
      <w:r>
        <w:rPr>
          <w:rFonts w:hint="eastAsia" w:ascii="仿宋" w:hAnsi="仿宋" w:eastAsia="仿宋" w:cs="仿宋"/>
          <w:color w:val="auto"/>
          <w:sz w:val="28"/>
          <w:szCs w:val="28"/>
          <w:lang w:val="en-US" w:eastAsia="zh-CN"/>
        </w:rPr>
        <w:t>1.1米*1.3米</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范围为衡钢</w:t>
      </w:r>
      <w:r>
        <w:rPr>
          <w:rFonts w:hint="eastAsia" w:ascii="仿宋" w:hAnsi="仿宋" w:eastAsia="仿宋" w:cs="仿宋"/>
          <w:color w:val="auto"/>
          <w:sz w:val="28"/>
          <w:szCs w:val="28"/>
          <w:lang w:val="en-US" w:eastAsia="zh-CN"/>
        </w:rPr>
        <w:t>180厂房屋顶光伏发电机组</w:t>
      </w:r>
      <w:r>
        <w:rPr>
          <w:rFonts w:hint="eastAsia" w:ascii="仿宋" w:hAnsi="仿宋" w:eastAsia="仿宋" w:cs="仿宋"/>
          <w:color w:val="auto"/>
          <w:sz w:val="28"/>
          <w:szCs w:val="28"/>
        </w:rPr>
        <w:t>全部光伏</w:t>
      </w:r>
      <w:r>
        <w:rPr>
          <w:rFonts w:hint="eastAsia" w:ascii="仿宋" w:hAnsi="仿宋" w:eastAsia="仿宋" w:cs="仿宋"/>
          <w:color w:val="auto"/>
          <w:sz w:val="28"/>
          <w:szCs w:val="28"/>
          <w:lang w:eastAsia="zh-CN"/>
        </w:rPr>
        <w:t>板</w:t>
      </w:r>
      <w:r>
        <w:rPr>
          <w:rFonts w:hint="eastAsia" w:ascii="仿宋" w:hAnsi="仿宋" w:eastAsia="仿宋" w:cs="仿宋"/>
          <w:color w:val="auto"/>
          <w:sz w:val="28"/>
          <w:szCs w:val="28"/>
        </w:rPr>
        <w:t>组件。组件因</w:t>
      </w:r>
      <w:r>
        <w:rPr>
          <w:rFonts w:hint="eastAsia" w:ascii="仿宋" w:hAnsi="仿宋" w:eastAsia="仿宋" w:cs="仿宋"/>
          <w:color w:val="auto"/>
          <w:sz w:val="28"/>
          <w:szCs w:val="28"/>
          <w:lang w:eastAsia="zh-CN"/>
        </w:rPr>
        <w:t>受</w:t>
      </w:r>
      <w:r>
        <w:rPr>
          <w:rFonts w:hint="eastAsia" w:ascii="仿宋" w:hAnsi="仿宋" w:eastAsia="仿宋" w:cs="仿宋"/>
          <w:color w:val="auto"/>
          <w:sz w:val="28"/>
          <w:szCs w:val="28"/>
        </w:rPr>
        <w:t>钢铁冶炼粉尘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石墨粉综合沉淀物所</w:t>
      </w:r>
      <w:r>
        <w:rPr>
          <w:rFonts w:hint="eastAsia" w:ascii="仿宋" w:hAnsi="仿宋" w:eastAsia="仿宋" w:cs="仿宋"/>
          <w:color w:val="auto"/>
          <w:sz w:val="28"/>
          <w:szCs w:val="28"/>
        </w:rPr>
        <w:t>污染导致系统发电效率降低时，需进行组件清洗。组件清洗后，表面无灰尘、无附着物覆盖现象具体详细的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内容及要求、数量、主要技术参数及相关服务详见本文件第四部分：技术规格及要求</w:t>
      </w:r>
    </w:p>
    <w:p>
      <w:pPr>
        <w:pStyle w:val="104"/>
        <w:numPr>
          <w:ilvl w:val="0"/>
          <w:numId w:val="1"/>
        </w:numPr>
        <w:kinsoku/>
        <w:wordWrap/>
        <w:overflowPunct/>
        <w:topLinePunct w:val="0"/>
        <w:autoSpaceDE/>
        <w:autoSpaceDN/>
        <w:bidi w:val="0"/>
        <w:adjustRightInd w:val="0"/>
        <w:snapToGrid w:val="0"/>
        <w:spacing w:line="440" w:lineRule="exact"/>
        <w:ind w:left="2582" w:hanging="2582" w:firstLineChars="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投标人资格要求</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具有独立法人资格并依法取得企业营业执照，营业执照处于有效期内。</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2</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承诺履行中华人民共和国招标投标法的有关规定；遵守国家法律、行政法规，具有良好的信誉和诚实的职业道德。</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3</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应具有国家行政主管部门颁发的《承装（修、试）电力设施许可》三级或以上资质</w:t>
      </w:r>
      <w:r>
        <w:rPr>
          <w:rFonts w:hint="eastAsia" w:ascii="仿宋" w:hAnsi="仿宋" w:eastAsia="仿宋" w:cs="仿宋"/>
          <w:b w:val="0"/>
          <w:bCs/>
          <w:color w:val="auto"/>
          <w:sz w:val="28"/>
          <w:szCs w:val="28"/>
          <w:lang w:eastAsia="zh-CN"/>
        </w:rPr>
        <w:t>或者</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建筑企业资质证书</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输变电工工程专业承包二级资质或以上资质。</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能力要求：具有合同履行的</w:t>
      </w:r>
      <w:r>
        <w:rPr>
          <w:rFonts w:hint="eastAsia" w:ascii="仿宋" w:hAnsi="仿宋" w:eastAsia="仿宋" w:cs="仿宋"/>
          <w:b w:val="0"/>
          <w:bCs/>
          <w:color w:val="auto"/>
          <w:sz w:val="28"/>
          <w:szCs w:val="28"/>
          <w:lang w:eastAsia="zh-CN"/>
        </w:rPr>
        <w:t>施工、</w:t>
      </w:r>
      <w:r>
        <w:rPr>
          <w:rFonts w:hint="eastAsia" w:ascii="仿宋" w:hAnsi="仿宋" w:eastAsia="仿宋" w:cs="仿宋"/>
          <w:b w:val="0"/>
          <w:bCs/>
          <w:color w:val="auto"/>
          <w:sz w:val="28"/>
          <w:szCs w:val="28"/>
        </w:rPr>
        <w:t>技术、财务、服务能力。项目负责人或技术负责人有类似经验且必须提供本公司相关资质证明及社保证明。</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5</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财务要求及资信要求：财务状况良好，没有处于被责令停业或破产状态，且资产未被重组、接管或冻结。</w:t>
      </w:r>
    </w:p>
    <w:p>
      <w:pPr>
        <w:pStyle w:val="104"/>
        <w:numPr>
          <w:ilvl w:val="0"/>
          <w:numId w:val="0"/>
        </w:numPr>
        <w:kinsoku/>
        <w:wordWrap/>
        <w:overflowPunct/>
        <w:topLinePunct w:val="0"/>
        <w:autoSpaceDE/>
        <w:autoSpaceDN/>
        <w:bidi w:val="0"/>
        <w:adjustRightInd w:val="0"/>
        <w:snapToGrid w:val="0"/>
        <w:spacing w:line="440" w:lineRule="exact"/>
        <w:ind w:left="1120" w:leftChars="0" w:hanging="1120" w:hangingChars="4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6</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信誉要求：具有良好的商业信誉。未被工商行政管理机关在全国企业信用信息公示系统中列入严重违法失信企业名单；</w:t>
      </w:r>
    </w:p>
    <w:p>
      <w:pPr>
        <w:pStyle w:val="104"/>
        <w:numPr>
          <w:ilvl w:val="0"/>
          <w:numId w:val="0"/>
        </w:numPr>
        <w:kinsoku/>
        <w:wordWrap/>
        <w:overflowPunct/>
        <w:topLinePunct w:val="0"/>
        <w:autoSpaceDE/>
        <w:autoSpaceDN/>
        <w:bidi w:val="0"/>
        <w:adjustRightInd w:val="0"/>
        <w:snapToGrid w:val="0"/>
        <w:spacing w:line="440" w:lineRule="exact"/>
        <w:ind w:left="2" w:leftChars="0"/>
        <w:contextualSpacing/>
        <w:textAlignment w:val="auto"/>
        <w:rPr>
          <w:rFonts w:hint="eastAsia" w:ascii="仿宋" w:hAnsi="仿宋" w:eastAsia="仿宋" w:cs="仿宋"/>
          <w:b w:val="0"/>
          <w:bCs/>
          <w:color w:val="auto"/>
          <w:sz w:val="28"/>
          <w:szCs w:val="28"/>
        </w:rPr>
      </w:pPr>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招标文件获取</w:t>
      </w:r>
    </w:p>
    <w:p>
      <w:pPr>
        <w:pStyle w:val="104"/>
        <w:numPr>
          <w:ilvl w:val="1"/>
          <w:numId w:val="1"/>
        </w:numPr>
        <w:kinsoku/>
        <w:wordWrap/>
        <w:overflowPunct/>
        <w:topLinePunct w:val="0"/>
        <w:autoSpaceDE/>
        <w:autoSpaceDN/>
        <w:bidi w:val="0"/>
        <w:adjustRightInd w:val="0"/>
        <w:snapToGrid w:val="0"/>
        <w:spacing w:line="440" w:lineRule="exact"/>
        <w:ind w:firstLineChars="0"/>
        <w:contextualSpacing/>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请各投标人自行在衡阳华菱钢管有限公司网站（http://www.hysteeltube.com/zbgg）下载招标文件、报价清单、技术附件等。</w:t>
      </w:r>
    </w:p>
    <w:p>
      <w:pPr>
        <w:pStyle w:val="104"/>
        <w:numPr>
          <w:ilvl w:val="1"/>
          <w:numId w:val="1"/>
        </w:numPr>
        <w:kinsoku/>
        <w:wordWrap/>
        <w:overflowPunct/>
        <w:topLinePunct w:val="0"/>
        <w:autoSpaceDE/>
        <w:autoSpaceDN/>
        <w:bidi w:val="0"/>
        <w:adjustRightInd w:val="0"/>
        <w:snapToGrid w:val="0"/>
        <w:spacing w:line="440" w:lineRule="exact"/>
        <w:ind w:firstLineChars="0"/>
        <w:contextualSpacing/>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请投标单位自行下载或查阅招标文件及相关资料等，恕不另行通知，如有遗漏，招标人概不负责。</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招标文件售价</w:t>
      </w:r>
      <w:r>
        <w:rPr>
          <w:rFonts w:hint="eastAsia" w:ascii="仿宋" w:hAnsi="仿宋" w:eastAsia="仿宋" w:cs="仿宋"/>
          <w:color w:val="auto"/>
          <w:sz w:val="28"/>
          <w:szCs w:val="28"/>
          <w:highlight w:val="none"/>
        </w:rPr>
        <w:t>100元人民币，</w:t>
      </w:r>
      <w:r>
        <w:rPr>
          <w:rFonts w:hint="eastAsia" w:ascii="仿宋" w:hAnsi="仿宋" w:eastAsia="仿宋" w:cs="仿宋"/>
          <w:color w:val="auto"/>
          <w:sz w:val="28"/>
          <w:szCs w:val="28"/>
        </w:rPr>
        <w:t>网站扫码支付。</w:t>
      </w:r>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投标保证金金额：</w:t>
      </w:r>
      <w:r>
        <w:rPr>
          <w:rFonts w:hint="eastAsia" w:ascii="仿宋" w:hAnsi="仿宋" w:eastAsia="仿宋" w:cs="仿宋"/>
          <w:color w:val="auto"/>
          <w:sz w:val="28"/>
          <w:szCs w:val="28"/>
          <w:lang w:val="en-US" w:eastAsia="zh-CN"/>
        </w:rPr>
        <w:t>3000</w:t>
      </w:r>
      <w:r>
        <w:rPr>
          <w:rFonts w:hint="eastAsia" w:ascii="仿宋" w:hAnsi="仿宋" w:eastAsia="仿宋" w:cs="仿宋"/>
          <w:color w:val="auto"/>
          <w:sz w:val="28"/>
          <w:szCs w:val="28"/>
        </w:rPr>
        <w:t>元人民币。</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投标保证金缴纳截止时间为投标截止时间。</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投标保证金缴纳方式：电汇、转账或投标单位在衡钢的应收款。</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开户行：工行衡阳银雁支行</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开户名：衡阳华菱连轧管有限公司</w:t>
      </w:r>
    </w:p>
    <w:p>
      <w:pPr>
        <w:kinsoku/>
        <w:wordWrap/>
        <w:overflowPunct/>
        <w:topLinePunct w:val="0"/>
        <w:autoSpaceDE/>
        <w:autoSpaceDN/>
        <w:bidi w:val="0"/>
        <w:adjustRightInd w:val="0"/>
        <w:snapToGrid w:val="0"/>
        <w:spacing w:line="440" w:lineRule="exact"/>
        <w:ind w:left="850" w:leftChars="405"/>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帐  号：1905022319020105051</w:t>
      </w:r>
      <w:r>
        <w:rPr>
          <w:rFonts w:hint="eastAsia" w:ascii="仿宋" w:hAnsi="仿宋" w:eastAsia="仿宋" w:cs="仿宋"/>
          <w:color w:val="auto"/>
          <w:sz w:val="28"/>
          <w:szCs w:val="28"/>
        </w:rPr>
        <w:tab/>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投标人未按要求缴纳投标保证金，由评委会初审后作无效投标文件处理，其可能造成的损失由投标人自行承担。</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投标保证金退款、标书费开票请各投标人自行在衡阳华菱钢管有限公司网站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"http://www.hysteeltube.com/czsc.html"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http://www.hysteeltube.com/czsc.html</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招投标栏目公告信息中下载投标保证金退款、中标费服务及标书开票操作说明办理。</w:t>
      </w:r>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投标和开标</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投标文件递交截止时间及开标时间：</w:t>
      </w:r>
      <w:r>
        <w:rPr>
          <w:rFonts w:hint="eastAsia" w:ascii="仿宋" w:hAnsi="仿宋" w:eastAsia="仿宋" w:cs="仿宋"/>
          <w:b/>
          <w:color w:val="auto"/>
          <w:sz w:val="28"/>
          <w:szCs w:val="28"/>
          <w:u w:val="single"/>
        </w:rPr>
        <w:t>202</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rPr>
        <w:t>年</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u w:val="single"/>
        </w:rPr>
        <w:t>月</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u w:val="single"/>
        </w:rPr>
        <w:t>日下午14:30(北京时间)</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投标文件递交及开标地点：衡阳华菱钢管有限公司西办公楼三楼开标</w:t>
      </w: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室（采购部三楼）                  </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逾期送达的或者未送达指定地点或未按要求密封和加写标记的投标文件，招标人不予受理。</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邮寄</w:t>
      </w:r>
      <w:r>
        <w:rPr>
          <w:rFonts w:hint="eastAsia" w:ascii="仿宋" w:hAnsi="仿宋" w:eastAsia="仿宋" w:cs="仿宋"/>
          <w:color w:val="auto"/>
          <w:sz w:val="28"/>
          <w:szCs w:val="28"/>
        </w:rPr>
        <w:t>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评标办法</w:t>
      </w:r>
    </w:p>
    <w:p>
      <w:pPr>
        <w:pStyle w:val="104"/>
        <w:kinsoku/>
        <w:wordWrap/>
        <w:overflowPunct/>
        <w:topLinePunct w:val="0"/>
        <w:autoSpaceDE/>
        <w:autoSpaceDN/>
        <w:bidi w:val="0"/>
        <w:adjustRightInd w:val="0"/>
        <w:snapToGrid w:val="0"/>
        <w:spacing w:line="440" w:lineRule="exact"/>
        <w:ind w:left="851" w:firstLine="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本项目采用经评审的</w:t>
      </w:r>
      <w:r>
        <w:rPr>
          <w:rFonts w:hint="eastAsia" w:ascii="仿宋" w:hAnsi="仿宋" w:eastAsia="仿宋" w:cs="仿宋"/>
          <w:color w:val="auto"/>
          <w:sz w:val="28"/>
          <w:szCs w:val="28"/>
          <w:lang w:eastAsia="zh-CN"/>
        </w:rPr>
        <w:t>最低价中标法</w:t>
      </w:r>
      <w:r>
        <w:rPr>
          <w:rFonts w:hint="eastAsia" w:ascii="仿宋" w:hAnsi="仿宋" w:eastAsia="仿宋" w:cs="仿宋"/>
          <w:color w:val="auto"/>
          <w:sz w:val="28"/>
          <w:szCs w:val="28"/>
        </w:rPr>
        <w:t>。</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公告媒介</w:t>
      </w:r>
    </w:p>
    <w:p>
      <w:pPr>
        <w:pStyle w:val="104"/>
        <w:kinsoku/>
        <w:wordWrap/>
        <w:overflowPunct/>
        <w:topLinePunct w:val="0"/>
        <w:autoSpaceDE/>
        <w:autoSpaceDN/>
        <w:bidi w:val="0"/>
        <w:adjustRightInd w:val="0"/>
        <w:snapToGrid w:val="0"/>
        <w:spacing w:line="440" w:lineRule="exact"/>
        <w:ind w:left="851" w:firstLine="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本次招标公告在衡阳华菱钢管有限公司网站（http://www.hysteeltube.com/zbgg）上发布。</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监督</w:t>
      </w:r>
    </w:p>
    <w:p>
      <w:pPr>
        <w:pStyle w:val="104"/>
        <w:numPr>
          <w:ilvl w:val="0"/>
          <w:numId w:val="1"/>
        </w:numPr>
        <w:kinsoku/>
        <w:wordWrap/>
        <w:overflowPunct/>
        <w:topLinePunct w:val="0"/>
        <w:autoSpaceDE/>
        <w:autoSpaceDN/>
        <w:bidi w:val="0"/>
        <w:snapToGrid w:val="0"/>
        <w:spacing w:line="440" w:lineRule="exact"/>
        <w:ind w:firstLineChars="0"/>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本次招投标监督部门为湖南衡阳钢管（集团）有限公司纪委，电话：</w:t>
      </w:r>
      <w:r>
        <w:rPr>
          <w:rFonts w:hint="eastAsia" w:ascii="仿宋" w:hAnsi="仿宋" w:eastAsia="仿宋" w:cs="仿宋"/>
          <w:color w:val="auto"/>
          <w:kern w:val="0"/>
          <w:sz w:val="28"/>
          <w:szCs w:val="28"/>
        </w:rPr>
        <w:t>0734-8872189</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p>
      <w:pPr>
        <w:pStyle w:val="104"/>
        <w:kinsoku/>
        <w:wordWrap/>
        <w:overflowPunct/>
        <w:topLinePunct w:val="0"/>
        <w:autoSpaceDE/>
        <w:autoSpaceDN/>
        <w:bidi w:val="0"/>
        <w:adjustRightInd w:val="0"/>
        <w:snapToGrid w:val="0"/>
        <w:spacing w:line="440" w:lineRule="exact"/>
        <w:ind w:left="851"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投标人须保证其提供的资格审查申请资料及投标资料的真实性，招标人有权在招标的任何阶段进行调查和核实，一旦发现虚假，将严肃查处。</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联系方式：</w:t>
      </w:r>
    </w:p>
    <w:p>
      <w:pPr>
        <w:kinsoku/>
        <w:wordWrap/>
        <w:overflowPunct/>
        <w:topLinePunct w:val="0"/>
        <w:autoSpaceDE/>
        <w:autoSpaceDN/>
        <w:bidi w:val="0"/>
        <w:spacing w:line="440" w:lineRule="exact"/>
        <w:ind w:firstLine="1120" w:firstLine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刘先生(</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8973402685)</w:t>
      </w:r>
    </w:p>
    <w:p>
      <w:pPr>
        <w:pStyle w:val="2"/>
        <w:kinsoku/>
        <w:wordWrap/>
        <w:overflowPunct/>
        <w:topLinePunct w:val="0"/>
        <w:autoSpaceDE/>
        <w:autoSpaceDN/>
        <w:bidi w:val="0"/>
        <w:spacing w:line="440" w:lineRule="exact"/>
        <w:ind w:left="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技术负责人: 贺先生（17382117985）</w:t>
      </w:r>
    </w:p>
    <w:p>
      <w:pPr>
        <w:kinsoku/>
        <w:wordWrap/>
        <w:overflowPunct/>
        <w:topLinePunct w:val="0"/>
        <w:autoSpaceDE/>
        <w:autoSpaceDN/>
        <w:bidi w:val="0"/>
        <w:snapToGrid w:val="0"/>
        <w:spacing w:line="440" w:lineRule="exact"/>
        <w:ind w:firstLine="1120" w:firstLineChars="4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招标联系人：洪先生</w:t>
      </w:r>
    </w:p>
    <w:p>
      <w:pPr>
        <w:kinsoku/>
        <w:wordWrap/>
        <w:overflowPunct/>
        <w:topLinePunct w:val="0"/>
        <w:autoSpaceDE/>
        <w:autoSpaceDN/>
        <w:bidi w:val="0"/>
        <w:snapToGrid w:val="0"/>
        <w:spacing w:line="440" w:lineRule="exact"/>
        <w:ind w:left="850" w:leftChars="405"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电话：（0734）8872579（办）          手机：15616678886</w:t>
      </w:r>
    </w:p>
    <w:p>
      <w:pPr>
        <w:spacing w:line="360" w:lineRule="exact"/>
        <w:ind w:firstLine="1100" w:firstLineChars="393"/>
        <w:jc w:val="left"/>
        <w:rPr>
          <w:rFonts w:hint="eastAsia" w:ascii="仿宋" w:hAnsi="仿宋" w:eastAsia="仿宋" w:cs="仿宋"/>
          <w:color w:val="auto"/>
          <w:sz w:val="28"/>
          <w:szCs w:val="28"/>
        </w:rPr>
      </w:pPr>
      <w:r>
        <w:rPr>
          <w:rFonts w:hint="eastAsia" w:ascii="仿宋" w:hAnsi="仿宋" w:eastAsia="仿宋" w:cs="仿宋"/>
          <w:color w:val="auto"/>
          <w:sz w:val="28"/>
          <w:szCs w:val="28"/>
        </w:rPr>
        <w:t>详细地址：衡阳华菱钢管有限公司持续改进部招标管理科</w:t>
      </w:r>
    </w:p>
    <w:p>
      <w:pPr>
        <w:snapToGrid w:val="0"/>
        <w:spacing w:line="400" w:lineRule="exact"/>
        <w:rPr>
          <w:rFonts w:ascii="仿宋" w:hAnsi="仿宋" w:eastAsia="仿宋"/>
          <w:color w:val="auto"/>
          <w:sz w:val="24"/>
          <w:highlight w:val="none"/>
        </w:rPr>
      </w:pPr>
      <w:bookmarkStart w:id="4" w:name="_GoBack"/>
      <w:bookmarkEnd w:id="4"/>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B554AF"/>
    <w:rsid w:val="0CD05ED7"/>
    <w:rsid w:val="0E230C39"/>
    <w:rsid w:val="101A42BE"/>
    <w:rsid w:val="12BF6B65"/>
    <w:rsid w:val="134E49AB"/>
    <w:rsid w:val="1441159B"/>
    <w:rsid w:val="16075524"/>
    <w:rsid w:val="1C766D20"/>
    <w:rsid w:val="27F43088"/>
    <w:rsid w:val="2D590A8D"/>
    <w:rsid w:val="30B5736D"/>
    <w:rsid w:val="34134919"/>
    <w:rsid w:val="36C43945"/>
    <w:rsid w:val="3C324331"/>
    <w:rsid w:val="3CCD78C1"/>
    <w:rsid w:val="3ED70A3A"/>
    <w:rsid w:val="422B7AC6"/>
    <w:rsid w:val="4803505C"/>
    <w:rsid w:val="4CB5355C"/>
    <w:rsid w:val="4CD76635"/>
    <w:rsid w:val="4F8C3D25"/>
    <w:rsid w:val="53A30E49"/>
    <w:rsid w:val="57D8796C"/>
    <w:rsid w:val="5A33532D"/>
    <w:rsid w:val="5A981634"/>
    <w:rsid w:val="5E713151"/>
    <w:rsid w:val="61785D1C"/>
    <w:rsid w:val="634E61E2"/>
    <w:rsid w:val="71364C6B"/>
    <w:rsid w:val="72812CA9"/>
    <w:rsid w:val="74884070"/>
    <w:rsid w:val="78057CF6"/>
    <w:rsid w:val="7BC04E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7"/>
    <w:qFormat/>
    <w:uiPriority w:val="99"/>
    <w:pPr>
      <w:widowControl/>
      <w:spacing w:line="360" w:lineRule="auto"/>
      <w:outlineLvl w:val="2"/>
    </w:pPr>
    <w:rPr>
      <w:b/>
      <w:bCs/>
      <w:sz w:val="24"/>
    </w:rPr>
  </w:style>
  <w:style w:type="paragraph" w:styleId="6">
    <w:name w:val="heading 4"/>
    <w:basedOn w:val="1"/>
    <w:next w:val="1"/>
    <w:link w:val="48"/>
    <w:qFormat/>
    <w:uiPriority w:val="99"/>
    <w:pPr>
      <w:keepNext/>
      <w:keepLines/>
      <w:spacing w:line="360" w:lineRule="auto"/>
      <w:outlineLvl w:val="3"/>
    </w:pPr>
    <w:rPr>
      <w:rFonts w:ascii="Arial" w:hAnsi="Arial"/>
      <w:b/>
      <w:bCs/>
      <w:szCs w:val="28"/>
    </w:rPr>
  </w:style>
  <w:style w:type="paragraph" w:styleId="7">
    <w:name w:val="heading 5"/>
    <w:basedOn w:val="1"/>
    <w:next w:val="1"/>
    <w:link w:val="49"/>
    <w:qFormat/>
    <w:uiPriority w:val="99"/>
    <w:pPr>
      <w:keepNext/>
      <w:keepLines/>
      <w:spacing w:before="280" w:after="290" w:line="372" w:lineRule="auto"/>
      <w:outlineLvl w:val="4"/>
    </w:pPr>
    <w:rPr>
      <w:b/>
      <w:bCs/>
      <w:sz w:val="28"/>
      <w:szCs w:val="28"/>
    </w:rPr>
  </w:style>
  <w:style w:type="paragraph" w:styleId="8">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99"/>
    <w:pPr>
      <w:ind w:left="1260" w:leftChars="600"/>
    </w:p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4"/>
    <w:qFormat/>
    <w:uiPriority w:val="99"/>
    <w:pPr>
      <w:shd w:val="clear" w:color="auto" w:fill="000080"/>
    </w:pPr>
  </w:style>
  <w:style w:type="paragraph" w:styleId="15">
    <w:name w:val="annotation text"/>
    <w:basedOn w:val="1"/>
    <w:link w:val="55"/>
    <w:qFormat/>
    <w:uiPriority w:val="99"/>
    <w:pPr>
      <w:jc w:val="left"/>
    </w:pPr>
  </w:style>
  <w:style w:type="paragraph" w:styleId="16">
    <w:name w:val="Body Text"/>
    <w:basedOn w:val="1"/>
    <w:link w:val="56"/>
    <w:qFormat/>
    <w:uiPriority w:val="99"/>
    <w:pPr>
      <w:spacing w:after="120"/>
    </w:pPr>
  </w:style>
  <w:style w:type="paragraph" w:styleId="17">
    <w:name w:val="Body Text Indent"/>
    <w:basedOn w:val="1"/>
    <w:link w:val="57"/>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8"/>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59"/>
    <w:qFormat/>
    <w:uiPriority w:val="99"/>
    <w:pPr>
      <w:ind w:left="100" w:leftChars="2500"/>
    </w:pPr>
  </w:style>
  <w:style w:type="paragraph" w:styleId="23">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1"/>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5"/>
    <w:next w:val="15"/>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3"/>
    <w:qFormat/>
    <w:locked/>
    <w:uiPriority w:val="99"/>
    <w:rPr>
      <w:rFonts w:ascii="Cambria" w:hAnsi="Cambria" w:cs="Times New Roman"/>
      <w:b/>
      <w:bCs/>
      <w:kern w:val="32"/>
      <w:sz w:val="32"/>
      <w:szCs w:val="32"/>
    </w:rPr>
  </w:style>
  <w:style w:type="character" w:customStyle="1" w:styleId="46">
    <w:name w:val="Heading 2 Char"/>
    <w:basedOn w:val="39"/>
    <w:link w:val="4"/>
    <w:qFormat/>
    <w:locked/>
    <w:uiPriority w:val="99"/>
    <w:rPr>
      <w:rFonts w:ascii="Cambria" w:hAnsi="Cambria" w:eastAsia="宋体" w:cs="Times New Roman"/>
      <w:b/>
      <w:bCs/>
      <w:kern w:val="2"/>
      <w:sz w:val="32"/>
      <w:szCs w:val="32"/>
    </w:rPr>
  </w:style>
  <w:style w:type="character" w:customStyle="1" w:styleId="47">
    <w:name w:val="Heading 3 Char"/>
    <w:basedOn w:val="39"/>
    <w:link w:val="5"/>
    <w:qFormat/>
    <w:locked/>
    <w:uiPriority w:val="99"/>
    <w:rPr>
      <w:rFonts w:cs="Times New Roman"/>
      <w:b/>
      <w:bCs/>
      <w:sz w:val="24"/>
      <w:szCs w:val="24"/>
    </w:rPr>
  </w:style>
  <w:style w:type="character" w:customStyle="1" w:styleId="48">
    <w:name w:val="Heading 4 Char"/>
    <w:basedOn w:val="39"/>
    <w:link w:val="6"/>
    <w:qFormat/>
    <w:locked/>
    <w:uiPriority w:val="99"/>
    <w:rPr>
      <w:rFonts w:ascii="Arial" w:hAnsi="Arial" w:cs="Times New Roman"/>
      <w:b/>
      <w:bCs/>
      <w:kern w:val="2"/>
      <w:sz w:val="28"/>
      <w:szCs w:val="28"/>
    </w:rPr>
  </w:style>
  <w:style w:type="character" w:customStyle="1" w:styleId="49">
    <w:name w:val="Heading 5 Char"/>
    <w:basedOn w:val="39"/>
    <w:link w:val="7"/>
    <w:qFormat/>
    <w:locked/>
    <w:uiPriority w:val="99"/>
    <w:rPr>
      <w:rFonts w:cs="Times New Roman"/>
      <w:b/>
      <w:bCs/>
      <w:kern w:val="2"/>
      <w:sz w:val="28"/>
      <w:szCs w:val="28"/>
    </w:rPr>
  </w:style>
  <w:style w:type="character" w:customStyle="1" w:styleId="50">
    <w:name w:val="Heading 6 Char"/>
    <w:basedOn w:val="39"/>
    <w:link w:val="8"/>
    <w:qFormat/>
    <w:locked/>
    <w:uiPriority w:val="99"/>
    <w:rPr>
      <w:rFonts w:ascii="Arial" w:hAnsi="Arial" w:eastAsia="黑体" w:cs="Times New Roman"/>
      <w:b/>
      <w:bCs/>
      <w:sz w:val="24"/>
      <w:szCs w:val="24"/>
    </w:rPr>
  </w:style>
  <w:style w:type="character" w:customStyle="1" w:styleId="51">
    <w:name w:val="Heading 7 Char"/>
    <w:basedOn w:val="39"/>
    <w:link w:val="9"/>
    <w:qFormat/>
    <w:locked/>
    <w:uiPriority w:val="99"/>
    <w:rPr>
      <w:rFonts w:cs="Times New Roman"/>
      <w:b/>
      <w:bCs/>
      <w:sz w:val="24"/>
      <w:szCs w:val="24"/>
    </w:rPr>
  </w:style>
  <w:style w:type="character" w:customStyle="1" w:styleId="52">
    <w:name w:val="Heading 8 Char"/>
    <w:basedOn w:val="39"/>
    <w:link w:val="10"/>
    <w:qFormat/>
    <w:locked/>
    <w:uiPriority w:val="99"/>
    <w:rPr>
      <w:rFonts w:ascii="Arial" w:hAnsi="Arial" w:eastAsia="黑体" w:cs="Times New Roman"/>
      <w:sz w:val="24"/>
      <w:szCs w:val="24"/>
    </w:rPr>
  </w:style>
  <w:style w:type="character" w:customStyle="1" w:styleId="53">
    <w:name w:val="Heading 9 Char"/>
    <w:basedOn w:val="39"/>
    <w:link w:val="11"/>
    <w:qFormat/>
    <w:locked/>
    <w:uiPriority w:val="99"/>
    <w:rPr>
      <w:rFonts w:ascii="Arial" w:hAnsi="Arial" w:eastAsia="黑体" w:cs="Times New Roman"/>
      <w:sz w:val="21"/>
      <w:szCs w:val="21"/>
    </w:rPr>
  </w:style>
  <w:style w:type="character" w:customStyle="1" w:styleId="54">
    <w:name w:val="Document Map Char"/>
    <w:basedOn w:val="39"/>
    <w:link w:val="14"/>
    <w:semiHidden/>
    <w:qFormat/>
    <w:locked/>
    <w:uiPriority w:val="99"/>
    <w:rPr>
      <w:rFonts w:cs="Times New Roman"/>
      <w:sz w:val="2"/>
    </w:rPr>
  </w:style>
  <w:style w:type="character" w:customStyle="1" w:styleId="55">
    <w:name w:val="Comment Text Char"/>
    <w:basedOn w:val="39"/>
    <w:link w:val="15"/>
    <w:qFormat/>
    <w:locked/>
    <w:uiPriority w:val="99"/>
    <w:rPr>
      <w:rFonts w:cs="Times New Roman"/>
      <w:kern w:val="2"/>
      <w:sz w:val="24"/>
      <w:szCs w:val="24"/>
    </w:rPr>
  </w:style>
  <w:style w:type="character" w:customStyle="1" w:styleId="56">
    <w:name w:val="Body Text Char"/>
    <w:basedOn w:val="39"/>
    <w:link w:val="16"/>
    <w:qFormat/>
    <w:locked/>
    <w:uiPriority w:val="99"/>
    <w:rPr>
      <w:rFonts w:cs="Times New Roman"/>
      <w:kern w:val="2"/>
      <w:sz w:val="24"/>
      <w:szCs w:val="24"/>
    </w:rPr>
  </w:style>
  <w:style w:type="character" w:customStyle="1" w:styleId="57">
    <w:name w:val="Body Text Indent Char"/>
    <w:basedOn w:val="39"/>
    <w:link w:val="17"/>
    <w:qFormat/>
    <w:locked/>
    <w:uiPriority w:val="99"/>
    <w:rPr>
      <w:rFonts w:cs="Times New Roman"/>
      <w:spacing w:val="-4"/>
      <w:kern w:val="2"/>
      <w:sz w:val="24"/>
      <w:szCs w:val="24"/>
    </w:rPr>
  </w:style>
  <w:style w:type="character" w:customStyle="1" w:styleId="58">
    <w:name w:val="Plain Text Char"/>
    <w:basedOn w:val="39"/>
    <w:link w:val="20"/>
    <w:qFormat/>
    <w:locked/>
    <w:uiPriority w:val="99"/>
    <w:rPr>
      <w:rFonts w:ascii="宋体" w:hAnsi="Courier New" w:eastAsia="仿宋_GB2312" w:cs="Times New Roman"/>
      <w:kern w:val="2"/>
      <w:sz w:val="24"/>
      <w:szCs w:val="24"/>
    </w:rPr>
  </w:style>
  <w:style w:type="character" w:customStyle="1" w:styleId="59">
    <w:name w:val="Date Char"/>
    <w:basedOn w:val="39"/>
    <w:link w:val="22"/>
    <w:qFormat/>
    <w:locked/>
    <w:uiPriority w:val="99"/>
    <w:rPr>
      <w:rFonts w:cs="Times New Roman"/>
      <w:kern w:val="2"/>
      <w:sz w:val="24"/>
      <w:szCs w:val="24"/>
    </w:rPr>
  </w:style>
  <w:style w:type="character" w:customStyle="1" w:styleId="60">
    <w:name w:val="Body Text Indent 2 Char"/>
    <w:basedOn w:val="39"/>
    <w:link w:val="23"/>
    <w:semiHidden/>
    <w:qFormat/>
    <w:locked/>
    <w:uiPriority w:val="99"/>
    <w:rPr>
      <w:rFonts w:cs="Times New Roman"/>
      <w:sz w:val="24"/>
      <w:szCs w:val="24"/>
    </w:rPr>
  </w:style>
  <w:style w:type="character" w:customStyle="1" w:styleId="61">
    <w:name w:val="Balloon Text Char"/>
    <w:basedOn w:val="39"/>
    <w:link w:val="24"/>
    <w:qFormat/>
    <w:locked/>
    <w:uiPriority w:val="99"/>
    <w:rPr>
      <w:rFonts w:cs="Times New Roman"/>
      <w:kern w:val="2"/>
      <w:sz w:val="18"/>
      <w:szCs w:val="18"/>
    </w:rPr>
  </w:style>
  <w:style w:type="character" w:customStyle="1" w:styleId="62">
    <w:name w:val="Footer Char"/>
    <w:basedOn w:val="39"/>
    <w:link w:val="25"/>
    <w:qFormat/>
    <w:locked/>
    <w:uiPriority w:val="99"/>
    <w:rPr>
      <w:rFonts w:cs="Times New Roman"/>
      <w:kern w:val="2"/>
      <w:sz w:val="18"/>
      <w:szCs w:val="18"/>
    </w:rPr>
  </w:style>
  <w:style w:type="character" w:customStyle="1" w:styleId="63">
    <w:name w:val="Header Char"/>
    <w:basedOn w:val="39"/>
    <w:link w:val="26"/>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3"/>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1362</Words>
  <Characters>1607</Characters>
  <Lines>0</Lines>
  <Paragraphs>0</Paragraphs>
  <TotalTime>0</TotalTime>
  <ScaleCrop>false</ScaleCrop>
  <LinksUpToDate>false</LinksUpToDate>
  <CharactersWithSpaces>1679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2022-10-01T08:07:44Z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